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E886273" w14:textId="21AAA95D" w:rsidR="00934A35" w:rsidRDefault="00EE1E8E" w:rsidP="00D462AA">
      <w:pPr>
        <w:pStyle w:val="Title"/>
      </w:pPr>
      <w:r>
        <w:t xml:space="preserve">Negative Brief: </w:t>
      </w:r>
      <w:r w:rsidR="001A506B">
        <w:t>Production</w:t>
      </w:r>
      <w:r w:rsidR="007045AC">
        <w:t xml:space="preserve"> Tax Credits</w:t>
      </w:r>
      <w:r w:rsidR="001A506B">
        <w:t xml:space="preserve"> - good</w:t>
      </w:r>
    </w:p>
    <w:p w14:paraId="16A637BD" w14:textId="04C5D075" w:rsidR="00AF2404" w:rsidRDefault="00D462AA" w:rsidP="00AF2404">
      <w:pPr>
        <w:jc w:val="center"/>
      </w:pPr>
      <w:r>
        <w:t xml:space="preserve">By </w:t>
      </w:r>
      <w:r w:rsidR="00842CF3">
        <w:t>“Coach Vance” Trefethen</w:t>
      </w:r>
      <w:bookmarkStart w:id="0" w:name="_GoBack"/>
      <w:bookmarkEnd w:id="0"/>
    </w:p>
    <w:p w14:paraId="7774EA56" w14:textId="1381AC90" w:rsidR="003276F1" w:rsidRDefault="003276F1" w:rsidP="003276F1">
      <w:pPr>
        <w:shd w:val="clear" w:color="auto" w:fill="FFFFFF"/>
        <w:spacing w:after="0" w:line="240" w:lineRule="auto"/>
        <w:jc w:val="center"/>
        <w:rPr>
          <w:rStyle w:val="Emphasis"/>
          <w:b/>
        </w:rPr>
      </w:pPr>
      <w:r w:rsidRPr="003276F1">
        <w:rPr>
          <w:rStyle w:val="Emphasis"/>
          <w:b/>
        </w:rPr>
        <w:t xml:space="preserve">Resolved: The United States federal government should substantially </w:t>
      </w:r>
      <w:r w:rsidR="00050B5C">
        <w:rPr>
          <w:rStyle w:val="Emphasis"/>
          <w:b/>
        </w:rPr>
        <w:t>reform its energy policy</w:t>
      </w:r>
    </w:p>
    <w:p w14:paraId="0844A480" w14:textId="77777777" w:rsidR="003276F1" w:rsidRPr="003276F1" w:rsidRDefault="003276F1" w:rsidP="003276F1">
      <w:pPr>
        <w:shd w:val="clear" w:color="auto" w:fill="FFFFFF"/>
        <w:spacing w:after="0" w:line="240" w:lineRule="auto"/>
        <w:jc w:val="center"/>
        <w:rPr>
          <w:rStyle w:val="Emphasis"/>
          <w:b/>
        </w:rPr>
      </w:pPr>
    </w:p>
    <w:p w14:paraId="674842B3" w14:textId="697BBECE" w:rsidR="00302028" w:rsidRPr="00302028" w:rsidRDefault="001A506B" w:rsidP="00302028">
      <w:pPr>
        <w:pStyle w:val="Case"/>
        <w:numPr>
          <w:ilvl w:val="0"/>
          <w:numId w:val="0"/>
        </w:numPr>
        <w:pBdr>
          <w:bottom w:val="single" w:sz="4" w:space="0" w:color="595959"/>
        </w:pBdr>
        <w:rPr>
          <w:rFonts w:eastAsiaTheme="minorEastAsia"/>
        </w:rPr>
      </w:pPr>
      <w:r>
        <w:rPr>
          <w:rFonts w:eastAsiaTheme="minorEastAsia"/>
        </w:rPr>
        <w:t xml:space="preserve">Production Tax Credits (PTC) are a federal tax credit to producers of electricity generated by renewable energy.  </w:t>
      </w:r>
      <w:proofErr w:type="gramStart"/>
      <w:r>
        <w:rPr>
          <w:rFonts w:eastAsiaTheme="minorEastAsia"/>
        </w:rPr>
        <w:t>It’s</w:t>
      </w:r>
      <w:proofErr w:type="gramEnd"/>
      <w:r>
        <w:rPr>
          <w:rFonts w:eastAsiaTheme="minorEastAsia"/>
        </w:rPr>
        <w:t xml:space="preserve"> designed to help subsidize the cost of clean energy and make it more competitive with fossil fuel energy sources.  AFF plan will abolish the PTC. </w:t>
      </w:r>
      <w:r w:rsidR="00D63B08">
        <w:rPr>
          <w:rFonts w:eastAsiaTheme="minorEastAsia"/>
        </w:rPr>
        <w:t xml:space="preserve">The biggest reason not to do an AFF plan to terminate PTC is that they are already ending.  Existing law already terminated everything but wind energy PTC, and wind PTC ends on 31 Dec 2019.   AFF evidence about the cost of PTC in the Status Quo is for projects that </w:t>
      </w:r>
      <w:proofErr w:type="gramStart"/>
      <w:r w:rsidR="00D63B08">
        <w:rPr>
          <w:rFonts w:eastAsiaTheme="minorEastAsia"/>
        </w:rPr>
        <w:t>were already started</w:t>
      </w:r>
      <w:proofErr w:type="gramEnd"/>
      <w:r w:rsidR="00D63B08">
        <w:rPr>
          <w:rFonts w:eastAsiaTheme="minorEastAsia"/>
        </w:rPr>
        <w:t xml:space="preserve"> before their PTC termination, since projects get PTC for their first 10 years in production.  Once all the existing projects have been operating for 10 years, PTCs will go away on their own in the Status Quo, since no new ones </w:t>
      </w:r>
      <w:proofErr w:type="gramStart"/>
      <w:r w:rsidR="00D63B08">
        <w:rPr>
          <w:rFonts w:eastAsiaTheme="minorEastAsia"/>
        </w:rPr>
        <w:t>will be issued</w:t>
      </w:r>
      <w:proofErr w:type="gramEnd"/>
      <w:r w:rsidR="00D63B08">
        <w:rPr>
          <w:rFonts w:eastAsiaTheme="minorEastAsia"/>
        </w:rPr>
        <w:t xml:space="preserve"> after 12/31/2019.</w:t>
      </w:r>
    </w:p>
    <w:p w14:paraId="44905009" w14:textId="4E2BFB96" w:rsidR="00CE1E60" w:rsidRDefault="00DA2F2D">
      <w:pPr>
        <w:pStyle w:val="TOC1"/>
        <w:rPr>
          <w:rFonts w:asciiTheme="minorHAnsi" w:eastAsiaTheme="minorEastAsia" w:hAnsiTheme="minorHAnsi" w:cstheme="minorBidi"/>
          <w:b w:val="0"/>
          <w:noProof/>
        </w:rPr>
      </w:pPr>
      <w:r>
        <w:fldChar w:fldCharType="begin"/>
      </w:r>
      <w:r>
        <w:instrText xml:space="preserve"> TOC \o "1-3" \t "Contention 1,2,Contention 2,3,Title 2,1" </w:instrText>
      </w:r>
      <w:r>
        <w:fldChar w:fldCharType="separate"/>
      </w:r>
      <w:r w:rsidR="00CE1E60">
        <w:rPr>
          <w:noProof/>
        </w:rPr>
        <w:t>Negative:  Production Tax Credits - good</w:t>
      </w:r>
      <w:r w:rsidR="00CE1E60">
        <w:rPr>
          <w:noProof/>
        </w:rPr>
        <w:tab/>
      </w:r>
      <w:r w:rsidR="00CE1E60">
        <w:rPr>
          <w:noProof/>
        </w:rPr>
        <w:fldChar w:fldCharType="begin"/>
      </w:r>
      <w:r w:rsidR="00CE1E60">
        <w:rPr>
          <w:noProof/>
        </w:rPr>
        <w:instrText xml:space="preserve"> PAGEREF _Toc26629915 \h </w:instrText>
      </w:r>
      <w:r w:rsidR="00CE1E60">
        <w:rPr>
          <w:noProof/>
        </w:rPr>
      </w:r>
      <w:r w:rsidR="00CE1E60">
        <w:rPr>
          <w:noProof/>
        </w:rPr>
        <w:fldChar w:fldCharType="separate"/>
      </w:r>
      <w:r w:rsidR="00CE1E60">
        <w:rPr>
          <w:noProof/>
        </w:rPr>
        <w:t>3</w:t>
      </w:r>
      <w:r w:rsidR="00CE1E60">
        <w:rPr>
          <w:noProof/>
        </w:rPr>
        <w:fldChar w:fldCharType="end"/>
      </w:r>
    </w:p>
    <w:p w14:paraId="6F5B3971" w14:textId="625DFE27" w:rsidR="00CE1E60" w:rsidRDefault="00CE1E60">
      <w:pPr>
        <w:pStyle w:val="TOC2"/>
        <w:rPr>
          <w:rFonts w:asciiTheme="minorHAnsi" w:eastAsiaTheme="minorEastAsia" w:hAnsiTheme="minorHAnsi" w:cstheme="minorBidi"/>
          <w:noProof/>
          <w:sz w:val="22"/>
        </w:rPr>
      </w:pPr>
      <w:r>
        <w:rPr>
          <w:noProof/>
        </w:rPr>
        <w:t>TOPICALITY</w:t>
      </w:r>
      <w:r>
        <w:rPr>
          <w:noProof/>
        </w:rPr>
        <w:tab/>
      </w:r>
      <w:r>
        <w:rPr>
          <w:noProof/>
        </w:rPr>
        <w:fldChar w:fldCharType="begin"/>
      </w:r>
      <w:r>
        <w:rPr>
          <w:noProof/>
        </w:rPr>
        <w:instrText xml:space="preserve"> PAGEREF _Toc26629916 \h </w:instrText>
      </w:r>
      <w:r>
        <w:rPr>
          <w:noProof/>
        </w:rPr>
      </w:r>
      <w:r>
        <w:rPr>
          <w:noProof/>
        </w:rPr>
        <w:fldChar w:fldCharType="separate"/>
      </w:r>
      <w:r>
        <w:rPr>
          <w:noProof/>
        </w:rPr>
        <w:t>3</w:t>
      </w:r>
      <w:r>
        <w:rPr>
          <w:noProof/>
        </w:rPr>
        <w:fldChar w:fldCharType="end"/>
      </w:r>
    </w:p>
    <w:p w14:paraId="19B78B88" w14:textId="253CF012" w:rsidR="00CE1E60" w:rsidRDefault="00CE1E60">
      <w:pPr>
        <w:pStyle w:val="TOC2"/>
        <w:rPr>
          <w:rFonts w:asciiTheme="minorHAnsi" w:eastAsiaTheme="minorEastAsia" w:hAnsiTheme="minorHAnsi" w:cstheme="minorBidi"/>
          <w:noProof/>
          <w:sz w:val="22"/>
        </w:rPr>
      </w:pPr>
      <w:r>
        <w:rPr>
          <w:noProof/>
        </w:rPr>
        <w:t>1.  No substantial reform, just more of the Status Quo</w:t>
      </w:r>
      <w:r>
        <w:rPr>
          <w:noProof/>
        </w:rPr>
        <w:tab/>
      </w:r>
      <w:r>
        <w:rPr>
          <w:noProof/>
        </w:rPr>
        <w:fldChar w:fldCharType="begin"/>
      </w:r>
      <w:r>
        <w:rPr>
          <w:noProof/>
        </w:rPr>
        <w:instrText xml:space="preserve"> PAGEREF _Toc26629917 \h </w:instrText>
      </w:r>
      <w:r>
        <w:rPr>
          <w:noProof/>
        </w:rPr>
      </w:r>
      <w:r>
        <w:rPr>
          <w:noProof/>
        </w:rPr>
        <w:fldChar w:fldCharType="separate"/>
      </w:r>
      <w:r>
        <w:rPr>
          <w:noProof/>
        </w:rPr>
        <w:t>3</w:t>
      </w:r>
      <w:r>
        <w:rPr>
          <w:noProof/>
        </w:rPr>
        <w:fldChar w:fldCharType="end"/>
      </w:r>
    </w:p>
    <w:p w14:paraId="31708E0A" w14:textId="5B83C304" w:rsidR="00CE1E60" w:rsidRDefault="00CE1E60">
      <w:pPr>
        <w:pStyle w:val="TOC3"/>
        <w:rPr>
          <w:rFonts w:asciiTheme="minorHAnsi" w:eastAsiaTheme="minorEastAsia" w:hAnsiTheme="minorHAnsi" w:cstheme="minorBidi"/>
          <w:noProof/>
          <w:sz w:val="22"/>
        </w:rPr>
      </w:pPr>
      <w:r>
        <w:rPr>
          <w:noProof/>
        </w:rPr>
        <w:t>Status Quo is already ending PTC</w:t>
      </w:r>
      <w:r>
        <w:rPr>
          <w:noProof/>
        </w:rPr>
        <w:tab/>
      </w:r>
      <w:r>
        <w:rPr>
          <w:noProof/>
        </w:rPr>
        <w:fldChar w:fldCharType="begin"/>
      </w:r>
      <w:r>
        <w:rPr>
          <w:noProof/>
        </w:rPr>
        <w:instrText xml:space="preserve"> PAGEREF _Toc26629918 \h </w:instrText>
      </w:r>
      <w:r>
        <w:rPr>
          <w:noProof/>
        </w:rPr>
      </w:r>
      <w:r>
        <w:rPr>
          <w:noProof/>
        </w:rPr>
        <w:fldChar w:fldCharType="separate"/>
      </w:r>
      <w:r>
        <w:rPr>
          <w:noProof/>
        </w:rPr>
        <w:t>3</w:t>
      </w:r>
      <w:r>
        <w:rPr>
          <w:noProof/>
        </w:rPr>
        <w:fldChar w:fldCharType="end"/>
      </w:r>
    </w:p>
    <w:p w14:paraId="4605E0DC" w14:textId="03C480B9" w:rsidR="00CE1E60" w:rsidRDefault="00CE1E60">
      <w:pPr>
        <w:pStyle w:val="TOC3"/>
        <w:rPr>
          <w:rFonts w:asciiTheme="minorHAnsi" w:eastAsiaTheme="minorEastAsia" w:hAnsiTheme="minorHAnsi" w:cstheme="minorBidi"/>
          <w:noProof/>
          <w:sz w:val="22"/>
        </w:rPr>
      </w:pPr>
      <w:r>
        <w:rPr>
          <w:noProof/>
        </w:rPr>
        <w:t>Violation:  More of the Status Quo isn’t a substantial (or even a minor) reform</w:t>
      </w:r>
      <w:r>
        <w:rPr>
          <w:noProof/>
        </w:rPr>
        <w:tab/>
      </w:r>
      <w:r>
        <w:rPr>
          <w:noProof/>
        </w:rPr>
        <w:fldChar w:fldCharType="begin"/>
      </w:r>
      <w:r>
        <w:rPr>
          <w:noProof/>
        </w:rPr>
        <w:instrText xml:space="preserve"> PAGEREF _Toc26629919 \h </w:instrText>
      </w:r>
      <w:r>
        <w:rPr>
          <w:noProof/>
        </w:rPr>
      </w:r>
      <w:r>
        <w:rPr>
          <w:noProof/>
        </w:rPr>
        <w:fldChar w:fldCharType="separate"/>
      </w:r>
      <w:r>
        <w:rPr>
          <w:noProof/>
        </w:rPr>
        <w:t>3</w:t>
      </w:r>
      <w:r>
        <w:rPr>
          <w:noProof/>
        </w:rPr>
        <w:fldChar w:fldCharType="end"/>
      </w:r>
    </w:p>
    <w:p w14:paraId="6A903FD8" w14:textId="28ABF001" w:rsidR="00CE1E60" w:rsidRDefault="00CE1E60">
      <w:pPr>
        <w:pStyle w:val="TOC3"/>
        <w:rPr>
          <w:rFonts w:asciiTheme="minorHAnsi" w:eastAsiaTheme="minorEastAsia" w:hAnsiTheme="minorHAnsi" w:cstheme="minorBidi"/>
          <w:noProof/>
          <w:sz w:val="22"/>
        </w:rPr>
      </w:pPr>
      <w:r>
        <w:rPr>
          <w:noProof/>
        </w:rPr>
        <w:t>Impact:  No Affirmative team</w:t>
      </w:r>
      <w:r>
        <w:rPr>
          <w:noProof/>
        </w:rPr>
        <w:tab/>
      </w:r>
      <w:r>
        <w:rPr>
          <w:noProof/>
        </w:rPr>
        <w:fldChar w:fldCharType="begin"/>
      </w:r>
      <w:r>
        <w:rPr>
          <w:noProof/>
        </w:rPr>
        <w:instrText xml:space="preserve"> PAGEREF _Toc26629920 \h </w:instrText>
      </w:r>
      <w:r>
        <w:rPr>
          <w:noProof/>
        </w:rPr>
      </w:r>
      <w:r>
        <w:rPr>
          <w:noProof/>
        </w:rPr>
        <w:fldChar w:fldCharType="separate"/>
      </w:r>
      <w:r>
        <w:rPr>
          <w:noProof/>
        </w:rPr>
        <w:t>3</w:t>
      </w:r>
      <w:r>
        <w:rPr>
          <w:noProof/>
        </w:rPr>
        <w:fldChar w:fldCharType="end"/>
      </w:r>
    </w:p>
    <w:p w14:paraId="3AEE3F33" w14:textId="384B5A88" w:rsidR="00CE1E60" w:rsidRDefault="00CE1E60">
      <w:pPr>
        <w:pStyle w:val="TOC2"/>
        <w:rPr>
          <w:rFonts w:asciiTheme="minorHAnsi" w:eastAsiaTheme="minorEastAsia" w:hAnsiTheme="minorHAnsi" w:cstheme="minorBidi"/>
          <w:noProof/>
          <w:sz w:val="22"/>
        </w:rPr>
      </w:pPr>
      <w:r>
        <w:rPr>
          <w:noProof/>
        </w:rPr>
        <w:t>INHERENCY</w:t>
      </w:r>
      <w:r>
        <w:rPr>
          <w:noProof/>
        </w:rPr>
        <w:tab/>
      </w:r>
      <w:r>
        <w:rPr>
          <w:noProof/>
        </w:rPr>
        <w:fldChar w:fldCharType="begin"/>
      </w:r>
      <w:r>
        <w:rPr>
          <w:noProof/>
        </w:rPr>
        <w:instrText xml:space="preserve"> PAGEREF _Toc26629921 \h </w:instrText>
      </w:r>
      <w:r>
        <w:rPr>
          <w:noProof/>
        </w:rPr>
      </w:r>
      <w:r>
        <w:rPr>
          <w:noProof/>
        </w:rPr>
        <w:fldChar w:fldCharType="separate"/>
      </w:r>
      <w:r>
        <w:rPr>
          <w:noProof/>
        </w:rPr>
        <w:t>3</w:t>
      </w:r>
      <w:r>
        <w:rPr>
          <w:noProof/>
        </w:rPr>
        <w:fldChar w:fldCharType="end"/>
      </w:r>
    </w:p>
    <w:p w14:paraId="60FB596C" w14:textId="172C60D3" w:rsidR="00CE1E60" w:rsidRDefault="00CE1E60">
      <w:pPr>
        <w:pStyle w:val="TOC2"/>
        <w:rPr>
          <w:rFonts w:asciiTheme="minorHAnsi" w:eastAsiaTheme="minorEastAsia" w:hAnsiTheme="minorHAnsi" w:cstheme="minorBidi"/>
          <w:noProof/>
          <w:sz w:val="22"/>
        </w:rPr>
      </w:pPr>
      <w:r>
        <w:rPr>
          <w:noProof/>
        </w:rPr>
        <w:t>1.  Wind PTC already phasing out</w:t>
      </w:r>
      <w:r>
        <w:rPr>
          <w:noProof/>
        </w:rPr>
        <w:tab/>
      </w:r>
      <w:r>
        <w:rPr>
          <w:noProof/>
        </w:rPr>
        <w:fldChar w:fldCharType="begin"/>
      </w:r>
      <w:r>
        <w:rPr>
          <w:noProof/>
        </w:rPr>
        <w:instrText xml:space="preserve"> PAGEREF _Toc26629922 \h </w:instrText>
      </w:r>
      <w:r>
        <w:rPr>
          <w:noProof/>
        </w:rPr>
      </w:r>
      <w:r>
        <w:rPr>
          <w:noProof/>
        </w:rPr>
        <w:fldChar w:fldCharType="separate"/>
      </w:r>
      <w:r>
        <w:rPr>
          <w:noProof/>
        </w:rPr>
        <w:t>3</w:t>
      </w:r>
      <w:r>
        <w:rPr>
          <w:noProof/>
        </w:rPr>
        <w:fldChar w:fldCharType="end"/>
      </w:r>
    </w:p>
    <w:p w14:paraId="25A27288" w14:textId="088F252B" w:rsidR="00CE1E60" w:rsidRDefault="00CE1E60">
      <w:pPr>
        <w:pStyle w:val="TOC3"/>
        <w:rPr>
          <w:rFonts w:asciiTheme="minorHAnsi" w:eastAsiaTheme="minorEastAsia" w:hAnsiTheme="minorHAnsi" w:cstheme="minorBidi"/>
          <w:noProof/>
          <w:sz w:val="22"/>
        </w:rPr>
      </w:pPr>
      <w:r>
        <w:rPr>
          <w:noProof/>
        </w:rPr>
        <w:t>PTC for wind energy terminates at the end of 2019 under current law</w:t>
      </w:r>
      <w:r>
        <w:rPr>
          <w:noProof/>
        </w:rPr>
        <w:tab/>
      </w:r>
      <w:r>
        <w:rPr>
          <w:noProof/>
        </w:rPr>
        <w:fldChar w:fldCharType="begin"/>
      </w:r>
      <w:r>
        <w:rPr>
          <w:noProof/>
        </w:rPr>
        <w:instrText xml:space="preserve"> PAGEREF _Toc26629923 \h </w:instrText>
      </w:r>
      <w:r>
        <w:rPr>
          <w:noProof/>
        </w:rPr>
      </w:r>
      <w:r>
        <w:rPr>
          <w:noProof/>
        </w:rPr>
        <w:fldChar w:fldCharType="separate"/>
      </w:r>
      <w:r>
        <w:rPr>
          <w:noProof/>
        </w:rPr>
        <w:t>3</w:t>
      </w:r>
      <w:r>
        <w:rPr>
          <w:noProof/>
        </w:rPr>
        <w:fldChar w:fldCharType="end"/>
      </w:r>
    </w:p>
    <w:p w14:paraId="64108D44" w14:textId="732F5368" w:rsidR="00CE1E60" w:rsidRDefault="00CE1E60">
      <w:pPr>
        <w:pStyle w:val="TOC3"/>
        <w:rPr>
          <w:rFonts w:asciiTheme="minorHAnsi" w:eastAsiaTheme="minorEastAsia" w:hAnsiTheme="minorHAnsi" w:cstheme="minorBidi"/>
          <w:noProof/>
          <w:sz w:val="22"/>
        </w:rPr>
      </w:pPr>
      <w:r>
        <w:rPr>
          <w:noProof/>
        </w:rPr>
        <w:t>If it’s eliminated, why does AFF’s evidence say it is costing lost revenues to the federal budget?  Because systems installed before the deadline get the credit for 10 years</w:t>
      </w:r>
      <w:r>
        <w:rPr>
          <w:noProof/>
        </w:rPr>
        <w:tab/>
      </w:r>
      <w:r>
        <w:rPr>
          <w:noProof/>
        </w:rPr>
        <w:fldChar w:fldCharType="begin"/>
      </w:r>
      <w:r>
        <w:rPr>
          <w:noProof/>
        </w:rPr>
        <w:instrText xml:space="preserve"> PAGEREF _Toc26629924 \h </w:instrText>
      </w:r>
      <w:r>
        <w:rPr>
          <w:noProof/>
        </w:rPr>
      </w:r>
      <w:r>
        <w:rPr>
          <w:noProof/>
        </w:rPr>
        <w:fldChar w:fldCharType="separate"/>
      </w:r>
      <w:r>
        <w:rPr>
          <w:noProof/>
        </w:rPr>
        <w:t>4</w:t>
      </w:r>
      <w:r>
        <w:rPr>
          <w:noProof/>
        </w:rPr>
        <w:fldChar w:fldCharType="end"/>
      </w:r>
    </w:p>
    <w:p w14:paraId="6A085CF1" w14:textId="3AD4A478" w:rsidR="00CE1E60" w:rsidRDefault="00CE1E60">
      <w:pPr>
        <w:pStyle w:val="TOC2"/>
        <w:rPr>
          <w:rFonts w:asciiTheme="minorHAnsi" w:eastAsiaTheme="minorEastAsia" w:hAnsiTheme="minorHAnsi" w:cstheme="minorBidi"/>
          <w:noProof/>
          <w:sz w:val="22"/>
        </w:rPr>
      </w:pPr>
      <w:r>
        <w:rPr>
          <w:noProof/>
        </w:rPr>
        <w:t>2.   All other PTC (solar, etc. - everything besides wind) has already terminated</w:t>
      </w:r>
      <w:r>
        <w:rPr>
          <w:noProof/>
        </w:rPr>
        <w:tab/>
      </w:r>
      <w:r>
        <w:rPr>
          <w:noProof/>
        </w:rPr>
        <w:fldChar w:fldCharType="begin"/>
      </w:r>
      <w:r>
        <w:rPr>
          <w:noProof/>
        </w:rPr>
        <w:instrText xml:space="preserve"> PAGEREF _Toc26629925 \h </w:instrText>
      </w:r>
      <w:r>
        <w:rPr>
          <w:noProof/>
        </w:rPr>
      </w:r>
      <w:r>
        <w:rPr>
          <w:noProof/>
        </w:rPr>
        <w:fldChar w:fldCharType="separate"/>
      </w:r>
      <w:r>
        <w:rPr>
          <w:noProof/>
        </w:rPr>
        <w:t>4</w:t>
      </w:r>
      <w:r>
        <w:rPr>
          <w:noProof/>
        </w:rPr>
        <w:fldChar w:fldCharType="end"/>
      </w:r>
    </w:p>
    <w:p w14:paraId="5DE27153" w14:textId="5F98E654" w:rsidR="00CE1E60" w:rsidRDefault="00CE1E60">
      <w:pPr>
        <w:pStyle w:val="TOC3"/>
        <w:rPr>
          <w:rFonts w:asciiTheme="minorHAnsi" w:eastAsiaTheme="minorEastAsia" w:hAnsiTheme="minorHAnsi" w:cstheme="minorBidi"/>
          <w:noProof/>
          <w:sz w:val="22"/>
        </w:rPr>
      </w:pPr>
      <w:r>
        <w:rPr>
          <w:noProof/>
        </w:rPr>
        <w:t>PTC for other energy sources besides wind have already expired</w:t>
      </w:r>
      <w:r>
        <w:rPr>
          <w:noProof/>
        </w:rPr>
        <w:tab/>
      </w:r>
      <w:r>
        <w:rPr>
          <w:noProof/>
        </w:rPr>
        <w:fldChar w:fldCharType="begin"/>
      </w:r>
      <w:r>
        <w:rPr>
          <w:noProof/>
        </w:rPr>
        <w:instrText xml:space="preserve"> PAGEREF _Toc26629926 \h </w:instrText>
      </w:r>
      <w:r>
        <w:rPr>
          <w:noProof/>
        </w:rPr>
      </w:r>
      <w:r>
        <w:rPr>
          <w:noProof/>
        </w:rPr>
        <w:fldChar w:fldCharType="separate"/>
      </w:r>
      <w:r>
        <w:rPr>
          <w:noProof/>
        </w:rPr>
        <w:t>4</w:t>
      </w:r>
      <w:r>
        <w:rPr>
          <w:noProof/>
        </w:rPr>
        <w:fldChar w:fldCharType="end"/>
      </w:r>
    </w:p>
    <w:p w14:paraId="53226CF2" w14:textId="649DC3DA" w:rsidR="00CE1E60" w:rsidRDefault="00CE1E60">
      <w:pPr>
        <w:pStyle w:val="TOC2"/>
        <w:rPr>
          <w:rFonts w:asciiTheme="minorHAnsi" w:eastAsiaTheme="minorEastAsia" w:hAnsiTheme="minorHAnsi" w:cstheme="minorBidi"/>
          <w:noProof/>
          <w:sz w:val="22"/>
        </w:rPr>
      </w:pPr>
      <w:r>
        <w:rPr>
          <w:noProof/>
        </w:rPr>
        <w:t>SIGNIFICANCE /HARMS</w:t>
      </w:r>
      <w:r>
        <w:rPr>
          <w:noProof/>
        </w:rPr>
        <w:tab/>
      </w:r>
      <w:r>
        <w:rPr>
          <w:noProof/>
        </w:rPr>
        <w:fldChar w:fldCharType="begin"/>
      </w:r>
      <w:r>
        <w:rPr>
          <w:noProof/>
        </w:rPr>
        <w:instrText xml:space="preserve"> PAGEREF _Toc26629927 \h </w:instrText>
      </w:r>
      <w:r>
        <w:rPr>
          <w:noProof/>
        </w:rPr>
      </w:r>
      <w:r>
        <w:rPr>
          <w:noProof/>
        </w:rPr>
        <w:fldChar w:fldCharType="separate"/>
      </w:r>
      <w:r>
        <w:rPr>
          <w:noProof/>
        </w:rPr>
        <w:t>4</w:t>
      </w:r>
      <w:r>
        <w:rPr>
          <w:noProof/>
        </w:rPr>
        <w:fldChar w:fldCharType="end"/>
      </w:r>
    </w:p>
    <w:p w14:paraId="6ABA5A0D" w14:textId="42489C7A" w:rsidR="00CE1E60" w:rsidRDefault="00CE1E60">
      <w:pPr>
        <w:pStyle w:val="TOC2"/>
        <w:rPr>
          <w:rFonts w:asciiTheme="minorHAnsi" w:eastAsiaTheme="minorEastAsia" w:hAnsiTheme="minorHAnsi" w:cstheme="minorBidi"/>
          <w:noProof/>
          <w:sz w:val="22"/>
        </w:rPr>
      </w:pPr>
      <w:r>
        <w:rPr>
          <w:noProof/>
        </w:rPr>
        <w:t>1.  A/T “Cost to federal budget / fiscal responsibility”</w:t>
      </w:r>
      <w:r>
        <w:rPr>
          <w:noProof/>
        </w:rPr>
        <w:tab/>
      </w:r>
      <w:r>
        <w:rPr>
          <w:noProof/>
        </w:rPr>
        <w:fldChar w:fldCharType="begin"/>
      </w:r>
      <w:r>
        <w:rPr>
          <w:noProof/>
        </w:rPr>
        <w:instrText xml:space="preserve"> PAGEREF _Toc26629928 \h </w:instrText>
      </w:r>
      <w:r>
        <w:rPr>
          <w:noProof/>
        </w:rPr>
      </w:r>
      <w:r>
        <w:rPr>
          <w:noProof/>
        </w:rPr>
        <w:fldChar w:fldCharType="separate"/>
      </w:r>
      <w:r>
        <w:rPr>
          <w:noProof/>
        </w:rPr>
        <w:t>4</w:t>
      </w:r>
      <w:r>
        <w:rPr>
          <w:noProof/>
        </w:rPr>
        <w:fldChar w:fldCharType="end"/>
      </w:r>
    </w:p>
    <w:p w14:paraId="0A1D9245" w14:textId="37B290BF" w:rsidR="00CE1E60" w:rsidRDefault="00CE1E60">
      <w:pPr>
        <w:pStyle w:val="TOC3"/>
        <w:rPr>
          <w:rFonts w:asciiTheme="minorHAnsi" w:eastAsiaTheme="minorEastAsia" w:hAnsiTheme="minorHAnsi" w:cstheme="minorBidi"/>
          <w:noProof/>
          <w:sz w:val="22"/>
        </w:rPr>
      </w:pPr>
      <w:r>
        <w:rPr>
          <w:noProof/>
        </w:rPr>
        <w:t>Turn:  PTC has net fiscal benefit.  It generates more tax revenue than it costs:  $768 million/year</w:t>
      </w:r>
      <w:r>
        <w:rPr>
          <w:noProof/>
        </w:rPr>
        <w:tab/>
      </w:r>
      <w:r>
        <w:rPr>
          <w:noProof/>
        </w:rPr>
        <w:fldChar w:fldCharType="begin"/>
      </w:r>
      <w:r>
        <w:rPr>
          <w:noProof/>
        </w:rPr>
        <w:instrText xml:space="preserve"> PAGEREF _Toc26629929 \h </w:instrText>
      </w:r>
      <w:r>
        <w:rPr>
          <w:noProof/>
        </w:rPr>
      </w:r>
      <w:r>
        <w:rPr>
          <w:noProof/>
        </w:rPr>
        <w:fldChar w:fldCharType="separate"/>
      </w:r>
      <w:r>
        <w:rPr>
          <w:noProof/>
        </w:rPr>
        <w:t>4</w:t>
      </w:r>
      <w:r>
        <w:rPr>
          <w:noProof/>
        </w:rPr>
        <w:fldChar w:fldCharType="end"/>
      </w:r>
    </w:p>
    <w:p w14:paraId="2B8129F9" w14:textId="0F86E33E" w:rsidR="00CE1E60" w:rsidRDefault="00CE1E60">
      <w:pPr>
        <w:pStyle w:val="TOC3"/>
        <w:rPr>
          <w:rFonts w:asciiTheme="minorHAnsi" w:eastAsiaTheme="minorEastAsia" w:hAnsiTheme="minorHAnsi" w:cstheme="minorBidi"/>
          <w:noProof/>
          <w:sz w:val="22"/>
        </w:rPr>
      </w:pPr>
      <w:r>
        <w:rPr>
          <w:noProof/>
        </w:rPr>
        <w:t>Net benefits:   $2 saved for every $1 in tax cost</w:t>
      </w:r>
      <w:r>
        <w:rPr>
          <w:noProof/>
        </w:rPr>
        <w:tab/>
      </w:r>
      <w:r>
        <w:rPr>
          <w:noProof/>
        </w:rPr>
        <w:fldChar w:fldCharType="begin"/>
      </w:r>
      <w:r>
        <w:rPr>
          <w:noProof/>
        </w:rPr>
        <w:instrText xml:space="preserve"> PAGEREF _Toc26629930 \h </w:instrText>
      </w:r>
      <w:r>
        <w:rPr>
          <w:noProof/>
        </w:rPr>
      </w:r>
      <w:r>
        <w:rPr>
          <w:noProof/>
        </w:rPr>
        <w:fldChar w:fldCharType="separate"/>
      </w:r>
      <w:r>
        <w:rPr>
          <w:noProof/>
        </w:rPr>
        <w:t>5</w:t>
      </w:r>
      <w:r>
        <w:rPr>
          <w:noProof/>
        </w:rPr>
        <w:fldChar w:fldCharType="end"/>
      </w:r>
    </w:p>
    <w:p w14:paraId="1534052F" w14:textId="06A8B1FA" w:rsidR="00CE1E60" w:rsidRDefault="00CE1E60">
      <w:pPr>
        <w:pStyle w:val="TOC2"/>
        <w:rPr>
          <w:rFonts w:asciiTheme="minorHAnsi" w:eastAsiaTheme="minorEastAsia" w:hAnsiTheme="minorHAnsi" w:cstheme="minorBidi"/>
          <w:noProof/>
          <w:sz w:val="22"/>
        </w:rPr>
      </w:pPr>
      <w:r>
        <w:rPr>
          <w:noProof/>
        </w:rPr>
        <w:t>2.  Other subsidies justify PTC</w:t>
      </w:r>
      <w:r>
        <w:rPr>
          <w:noProof/>
        </w:rPr>
        <w:tab/>
      </w:r>
      <w:r>
        <w:rPr>
          <w:noProof/>
        </w:rPr>
        <w:fldChar w:fldCharType="begin"/>
      </w:r>
      <w:r>
        <w:rPr>
          <w:noProof/>
        </w:rPr>
        <w:instrText xml:space="preserve"> PAGEREF _Toc26629931 \h </w:instrText>
      </w:r>
      <w:r>
        <w:rPr>
          <w:noProof/>
        </w:rPr>
      </w:r>
      <w:r>
        <w:rPr>
          <w:noProof/>
        </w:rPr>
        <w:fldChar w:fldCharType="separate"/>
      </w:r>
      <w:r>
        <w:rPr>
          <w:noProof/>
        </w:rPr>
        <w:t>5</w:t>
      </w:r>
      <w:r>
        <w:rPr>
          <w:noProof/>
        </w:rPr>
        <w:fldChar w:fldCharType="end"/>
      </w:r>
    </w:p>
    <w:p w14:paraId="07B799BE" w14:textId="3F8FD6FA" w:rsidR="00CE1E60" w:rsidRDefault="00CE1E60">
      <w:pPr>
        <w:pStyle w:val="TOC3"/>
        <w:rPr>
          <w:rFonts w:asciiTheme="minorHAnsi" w:eastAsiaTheme="minorEastAsia" w:hAnsiTheme="minorHAnsi" w:cstheme="minorBidi"/>
          <w:noProof/>
          <w:sz w:val="22"/>
        </w:rPr>
      </w:pPr>
      <w:r>
        <w:rPr>
          <w:noProof/>
        </w:rPr>
        <w:t>PTC subsidies for renewables are justified because fossil fuel energy is subsidized</w:t>
      </w:r>
      <w:r>
        <w:rPr>
          <w:noProof/>
        </w:rPr>
        <w:tab/>
      </w:r>
      <w:r>
        <w:rPr>
          <w:noProof/>
        </w:rPr>
        <w:fldChar w:fldCharType="begin"/>
      </w:r>
      <w:r>
        <w:rPr>
          <w:noProof/>
        </w:rPr>
        <w:instrText xml:space="preserve"> PAGEREF _Toc26629932 \h </w:instrText>
      </w:r>
      <w:r>
        <w:rPr>
          <w:noProof/>
        </w:rPr>
      </w:r>
      <w:r>
        <w:rPr>
          <w:noProof/>
        </w:rPr>
        <w:fldChar w:fldCharType="separate"/>
      </w:r>
      <w:r>
        <w:rPr>
          <w:noProof/>
        </w:rPr>
        <w:t>5</w:t>
      </w:r>
      <w:r>
        <w:rPr>
          <w:noProof/>
        </w:rPr>
        <w:fldChar w:fldCharType="end"/>
      </w:r>
    </w:p>
    <w:p w14:paraId="2991D44F" w14:textId="51DFB8A1" w:rsidR="00CE1E60" w:rsidRDefault="00CE1E60">
      <w:pPr>
        <w:pStyle w:val="TOC3"/>
        <w:rPr>
          <w:rFonts w:asciiTheme="minorHAnsi" w:eastAsiaTheme="minorEastAsia" w:hAnsiTheme="minorHAnsi" w:cstheme="minorBidi"/>
          <w:noProof/>
          <w:sz w:val="22"/>
        </w:rPr>
      </w:pPr>
      <w:r>
        <w:rPr>
          <w:noProof/>
        </w:rPr>
        <w:t>A/T “Wind industry says OK to abolish PTC” – Yes IF fossil fuel subsidies are abolished too</w:t>
      </w:r>
      <w:r>
        <w:rPr>
          <w:noProof/>
        </w:rPr>
        <w:tab/>
      </w:r>
      <w:r>
        <w:rPr>
          <w:noProof/>
        </w:rPr>
        <w:fldChar w:fldCharType="begin"/>
      </w:r>
      <w:r>
        <w:rPr>
          <w:noProof/>
        </w:rPr>
        <w:instrText xml:space="preserve"> PAGEREF _Toc26629933 \h </w:instrText>
      </w:r>
      <w:r>
        <w:rPr>
          <w:noProof/>
        </w:rPr>
      </w:r>
      <w:r>
        <w:rPr>
          <w:noProof/>
        </w:rPr>
        <w:fldChar w:fldCharType="separate"/>
      </w:r>
      <w:r>
        <w:rPr>
          <w:noProof/>
        </w:rPr>
        <w:t>5</w:t>
      </w:r>
      <w:r>
        <w:rPr>
          <w:noProof/>
        </w:rPr>
        <w:fldChar w:fldCharType="end"/>
      </w:r>
    </w:p>
    <w:p w14:paraId="5A8A9CB6" w14:textId="29580C18" w:rsidR="00CE1E60" w:rsidRDefault="00CE1E60">
      <w:pPr>
        <w:pStyle w:val="TOC2"/>
        <w:rPr>
          <w:rFonts w:asciiTheme="minorHAnsi" w:eastAsiaTheme="minorEastAsia" w:hAnsiTheme="minorHAnsi" w:cstheme="minorBidi"/>
          <w:noProof/>
          <w:sz w:val="22"/>
        </w:rPr>
      </w:pPr>
      <w:r>
        <w:rPr>
          <w:noProof/>
        </w:rPr>
        <w:t>3.  Insignificant budget cost</w:t>
      </w:r>
      <w:r>
        <w:rPr>
          <w:noProof/>
        </w:rPr>
        <w:tab/>
      </w:r>
      <w:r>
        <w:rPr>
          <w:noProof/>
        </w:rPr>
        <w:fldChar w:fldCharType="begin"/>
      </w:r>
      <w:r>
        <w:rPr>
          <w:noProof/>
        </w:rPr>
        <w:instrText xml:space="preserve"> PAGEREF _Toc26629934 \h </w:instrText>
      </w:r>
      <w:r>
        <w:rPr>
          <w:noProof/>
        </w:rPr>
      </w:r>
      <w:r>
        <w:rPr>
          <w:noProof/>
        </w:rPr>
        <w:fldChar w:fldCharType="separate"/>
      </w:r>
      <w:r>
        <w:rPr>
          <w:noProof/>
        </w:rPr>
        <w:t>6</w:t>
      </w:r>
      <w:r>
        <w:rPr>
          <w:noProof/>
        </w:rPr>
        <w:fldChar w:fldCharType="end"/>
      </w:r>
    </w:p>
    <w:p w14:paraId="12AACCEF" w14:textId="0DDAE56F" w:rsidR="00CE1E60" w:rsidRDefault="00CE1E60">
      <w:pPr>
        <w:pStyle w:val="TOC3"/>
        <w:rPr>
          <w:rFonts w:asciiTheme="minorHAnsi" w:eastAsiaTheme="minorEastAsia" w:hAnsiTheme="minorHAnsi" w:cstheme="minorBidi"/>
          <w:noProof/>
          <w:sz w:val="22"/>
        </w:rPr>
      </w:pPr>
      <w:r>
        <w:rPr>
          <w:noProof/>
        </w:rPr>
        <w:t xml:space="preserve">PTC cost $7 billion over 7 years (about $1 billion/year)  </w:t>
      </w:r>
      <w:r>
        <w:rPr>
          <w:noProof/>
        </w:rPr>
        <w:sym w:font="Wingdings" w:char="F0E0"/>
      </w:r>
      <w:r>
        <w:rPr>
          <w:noProof/>
        </w:rPr>
        <w:t xml:space="preserve"> And that was </w:t>
      </w:r>
      <w:r w:rsidRPr="00790C59">
        <w:rPr>
          <w:noProof/>
          <w:u w:val="single"/>
        </w:rPr>
        <w:t>before it was being phased out</w:t>
      </w:r>
      <w:r>
        <w:rPr>
          <w:noProof/>
        </w:rPr>
        <w:tab/>
      </w:r>
      <w:r>
        <w:rPr>
          <w:noProof/>
        </w:rPr>
        <w:fldChar w:fldCharType="begin"/>
      </w:r>
      <w:r>
        <w:rPr>
          <w:noProof/>
        </w:rPr>
        <w:instrText xml:space="preserve"> PAGEREF _Toc26629935 \h </w:instrText>
      </w:r>
      <w:r>
        <w:rPr>
          <w:noProof/>
        </w:rPr>
      </w:r>
      <w:r>
        <w:rPr>
          <w:noProof/>
        </w:rPr>
        <w:fldChar w:fldCharType="separate"/>
      </w:r>
      <w:r>
        <w:rPr>
          <w:noProof/>
        </w:rPr>
        <w:t>6</w:t>
      </w:r>
      <w:r>
        <w:rPr>
          <w:noProof/>
        </w:rPr>
        <w:fldChar w:fldCharType="end"/>
      </w:r>
    </w:p>
    <w:p w14:paraId="3D84A5FF" w14:textId="7F465C32" w:rsidR="00CE1E60" w:rsidRDefault="00CE1E60">
      <w:pPr>
        <w:pStyle w:val="TOC3"/>
        <w:rPr>
          <w:rFonts w:asciiTheme="minorHAnsi" w:eastAsiaTheme="minorEastAsia" w:hAnsiTheme="minorHAnsi" w:cstheme="minorBidi"/>
          <w:noProof/>
          <w:sz w:val="22"/>
        </w:rPr>
      </w:pPr>
      <w:r>
        <w:rPr>
          <w:noProof/>
        </w:rPr>
        <w:t>Total federal budget is $4.7 trillion</w:t>
      </w:r>
      <w:r>
        <w:rPr>
          <w:noProof/>
        </w:rPr>
        <w:tab/>
      </w:r>
      <w:r>
        <w:rPr>
          <w:noProof/>
        </w:rPr>
        <w:fldChar w:fldCharType="begin"/>
      </w:r>
      <w:r>
        <w:rPr>
          <w:noProof/>
        </w:rPr>
        <w:instrText xml:space="preserve"> PAGEREF _Toc26629936 \h </w:instrText>
      </w:r>
      <w:r>
        <w:rPr>
          <w:noProof/>
        </w:rPr>
      </w:r>
      <w:r>
        <w:rPr>
          <w:noProof/>
        </w:rPr>
        <w:fldChar w:fldCharType="separate"/>
      </w:r>
      <w:r>
        <w:rPr>
          <w:noProof/>
        </w:rPr>
        <w:t>6</w:t>
      </w:r>
      <w:r>
        <w:rPr>
          <w:noProof/>
        </w:rPr>
        <w:fldChar w:fldCharType="end"/>
      </w:r>
    </w:p>
    <w:p w14:paraId="24E0F1D1" w14:textId="1900464C" w:rsidR="00CE1E60" w:rsidRDefault="00CE1E60">
      <w:pPr>
        <w:pStyle w:val="TOC3"/>
        <w:rPr>
          <w:rFonts w:asciiTheme="minorHAnsi" w:eastAsiaTheme="minorEastAsia" w:hAnsiTheme="minorHAnsi" w:cstheme="minorBidi"/>
          <w:noProof/>
          <w:sz w:val="22"/>
        </w:rPr>
      </w:pPr>
      <w:r>
        <w:rPr>
          <w:noProof/>
        </w:rPr>
        <w:t>Do the math:  $1 billion/year PTC divided by $4.7 trillion/year budget = 0.02%</w:t>
      </w:r>
      <w:r>
        <w:rPr>
          <w:noProof/>
        </w:rPr>
        <w:tab/>
      </w:r>
      <w:r>
        <w:rPr>
          <w:noProof/>
        </w:rPr>
        <w:fldChar w:fldCharType="begin"/>
      </w:r>
      <w:r>
        <w:rPr>
          <w:noProof/>
        </w:rPr>
        <w:instrText xml:space="preserve"> PAGEREF _Toc26629937 \h </w:instrText>
      </w:r>
      <w:r>
        <w:rPr>
          <w:noProof/>
        </w:rPr>
      </w:r>
      <w:r>
        <w:rPr>
          <w:noProof/>
        </w:rPr>
        <w:fldChar w:fldCharType="separate"/>
      </w:r>
      <w:r>
        <w:rPr>
          <w:noProof/>
        </w:rPr>
        <w:t>6</w:t>
      </w:r>
      <w:r>
        <w:rPr>
          <w:noProof/>
        </w:rPr>
        <w:fldChar w:fldCharType="end"/>
      </w:r>
    </w:p>
    <w:p w14:paraId="64A9B205" w14:textId="4C4CFEA7" w:rsidR="00CE1E60" w:rsidRDefault="00CE1E60">
      <w:pPr>
        <w:pStyle w:val="TOC2"/>
        <w:rPr>
          <w:rFonts w:asciiTheme="minorHAnsi" w:eastAsiaTheme="minorEastAsia" w:hAnsiTheme="minorHAnsi" w:cstheme="minorBidi"/>
          <w:noProof/>
          <w:sz w:val="22"/>
        </w:rPr>
      </w:pPr>
      <w:r>
        <w:rPr>
          <w:noProof/>
        </w:rPr>
        <w:t>DISADVANTAGES</w:t>
      </w:r>
      <w:r>
        <w:rPr>
          <w:noProof/>
        </w:rPr>
        <w:tab/>
      </w:r>
      <w:r>
        <w:rPr>
          <w:noProof/>
        </w:rPr>
        <w:fldChar w:fldCharType="begin"/>
      </w:r>
      <w:r>
        <w:rPr>
          <w:noProof/>
        </w:rPr>
        <w:instrText xml:space="preserve"> PAGEREF _Toc26629938 \h </w:instrText>
      </w:r>
      <w:r>
        <w:rPr>
          <w:noProof/>
        </w:rPr>
      </w:r>
      <w:r>
        <w:rPr>
          <w:noProof/>
        </w:rPr>
        <w:fldChar w:fldCharType="separate"/>
      </w:r>
      <w:r>
        <w:rPr>
          <w:noProof/>
        </w:rPr>
        <w:t>6</w:t>
      </w:r>
      <w:r>
        <w:rPr>
          <w:noProof/>
        </w:rPr>
        <w:fldChar w:fldCharType="end"/>
      </w:r>
    </w:p>
    <w:p w14:paraId="5D1F5483" w14:textId="18D16965" w:rsidR="00CE1E60" w:rsidRDefault="00CE1E60">
      <w:pPr>
        <w:pStyle w:val="TOC2"/>
        <w:rPr>
          <w:rFonts w:asciiTheme="minorHAnsi" w:eastAsiaTheme="minorEastAsia" w:hAnsiTheme="minorHAnsi" w:cstheme="minorBidi"/>
          <w:noProof/>
          <w:sz w:val="22"/>
        </w:rPr>
      </w:pPr>
      <w:r>
        <w:rPr>
          <w:noProof/>
        </w:rPr>
        <w:t>1.  Job losses</w:t>
      </w:r>
      <w:r>
        <w:rPr>
          <w:noProof/>
        </w:rPr>
        <w:tab/>
      </w:r>
      <w:r>
        <w:rPr>
          <w:noProof/>
        </w:rPr>
        <w:fldChar w:fldCharType="begin"/>
      </w:r>
      <w:r>
        <w:rPr>
          <w:noProof/>
        </w:rPr>
        <w:instrText xml:space="preserve"> PAGEREF _Toc26629939 \h </w:instrText>
      </w:r>
      <w:r>
        <w:rPr>
          <w:noProof/>
        </w:rPr>
      </w:r>
      <w:r>
        <w:rPr>
          <w:noProof/>
        </w:rPr>
        <w:fldChar w:fldCharType="separate"/>
      </w:r>
      <w:r>
        <w:rPr>
          <w:noProof/>
        </w:rPr>
        <w:t>6</w:t>
      </w:r>
      <w:r>
        <w:rPr>
          <w:noProof/>
        </w:rPr>
        <w:fldChar w:fldCharType="end"/>
      </w:r>
    </w:p>
    <w:p w14:paraId="15FA189C" w14:textId="7FDA33D9" w:rsidR="00CE1E60" w:rsidRDefault="00CE1E60">
      <w:pPr>
        <w:pStyle w:val="TOC3"/>
        <w:rPr>
          <w:rFonts w:asciiTheme="minorHAnsi" w:eastAsiaTheme="minorEastAsia" w:hAnsiTheme="minorHAnsi" w:cstheme="minorBidi"/>
          <w:noProof/>
          <w:sz w:val="22"/>
        </w:rPr>
      </w:pPr>
      <w:r>
        <w:rPr>
          <w:noProof/>
        </w:rPr>
        <w:t>When PTC goes away, we get fewer wind energy installations and more job losses</w:t>
      </w:r>
      <w:r>
        <w:rPr>
          <w:noProof/>
        </w:rPr>
        <w:tab/>
      </w:r>
      <w:r>
        <w:rPr>
          <w:noProof/>
        </w:rPr>
        <w:fldChar w:fldCharType="begin"/>
      </w:r>
      <w:r>
        <w:rPr>
          <w:noProof/>
        </w:rPr>
        <w:instrText xml:space="preserve"> PAGEREF _Toc26629940 \h </w:instrText>
      </w:r>
      <w:r>
        <w:rPr>
          <w:noProof/>
        </w:rPr>
      </w:r>
      <w:r>
        <w:rPr>
          <w:noProof/>
        </w:rPr>
        <w:fldChar w:fldCharType="separate"/>
      </w:r>
      <w:r>
        <w:rPr>
          <w:noProof/>
        </w:rPr>
        <w:t>6</w:t>
      </w:r>
      <w:r>
        <w:rPr>
          <w:noProof/>
        </w:rPr>
        <w:fldChar w:fldCharType="end"/>
      </w:r>
    </w:p>
    <w:p w14:paraId="368EC52E" w14:textId="5B7E283B" w:rsidR="00CE1E60" w:rsidRDefault="00CE1E60">
      <w:pPr>
        <w:pStyle w:val="TOC3"/>
        <w:rPr>
          <w:rFonts w:asciiTheme="minorHAnsi" w:eastAsiaTheme="minorEastAsia" w:hAnsiTheme="minorHAnsi" w:cstheme="minorBidi"/>
          <w:noProof/>
          <w:sz w:val="22"/>
        </w:rPr>
      </w:pPr>
      <w:r w:rsidRPr="00790C59">
        <w:rPr>
          <w:rFonts w:eastAsia="Arial"/>
          <w:noProof/>
        </w:rPr>
        <w:t>PTC has not outlived its usefulness:  Other forms of energy are subsidized, so wind has trouble competing without the PTC</w:t>
      </w:r>
      <w:r>
        <w:rPr>
          <w:noProof/>
        </w:rPr>
        <w:tab/>
      </w:r>
      <w:r>
        <w:rPr>
          <w:noProof/>
        </w:rPr>
        <w:fldChar w:fldCharType="begin"/>
      </w:r>
      <w:r>
        <w:rPr>
          <w:noProof/>
        </w:rPr>
        <w:instrText xml:space="preserve"> PAGEREF _Toc26629941 \h </w:instrText>
      </w:r>
      <w:r>
        <w:rPr>
          <w:noProof/>
        </w:rPr>
      </w:r>
      <w:r>
        <w:rPr>
          <w:noProof/>
        </w:rPr>
        <w:fldChar w:fldCharType="separate"/>
      </w:r>
      <w:r>
        <w:rPr>
          <w:noProof/>
        </w:rPr>
        <w:t>6</w:t>
      </w:r>
      <w:r>
        <w:rPr>
          <w:noProof/>
        </w:rPr>
        <w:fldChar w:fldCharType="end"/>
      </w:r>
    </w:p>
    <w:p w14:paraId="1E2F4B82" w14:textId="0DA831AB" w:rsidR="00CE1E60" w:rsidRDefault="00CE1E60">
      <w:pPr>
        <w:pStyle w:val="TOC2"/>
        <w:rPr>
          <w:rFonts w:asciiTheme="minorHAnsi" w:eastAsiaTheme="minorEastAsia" w:hAnsiTheme="minorHAnsi" w:cstheme="minorBidi"/>
          <w:noProof/>
          <w:sz w:val="22"/>
        </w:rPr>
      </w:pPr>
      <w:r>
        <w:rPr>
          <w:noProof/>
        </w:rPr>
        <w:t>2.  Pollution</w:t>
      </w:r>
      <w:r>
        <w:rPr>
          <w:noProof/>
        </w:rPr>
        <w:tab/>
      </w:r>
      <w:r>
        <w:rPr>
          <w:noProof/>
        </w:rPr>
        <w:fldChar w:fldCharType="begin"/>
      </w:r>
      <w:r>
        <w:rPr>
          <w:noProof/>
        </w:rPr>
        <w:instrText xml:space="preserve"> PAGEREF _Toc26629942 \h </w:instrText>
      </w:r>
      <w:r>
        <w:rPr>
          <w:noProof/>
        </w:rPr>
      </w:r>
      <w:r>
        <w:rPr>
          <w:noProof/>
        </w:rPr>
        <w:fldChar w:fldCharType="separate"/>
      </w:r>
      <w:r>
        <w:rPr>
          <w:noProof/>
        </w:rPr>
        <w:t>7</w:t>
      </w:r>
      <w:r>
        <w:rPr>
          <w:noProof/>
        </w:rPr>
        <w:fldChar w:fldCharType="end"/>
      </w:r>
    </w:p>
    <w:p w14:paraId="17706CE2" w14:textId="6A28CAE0" w:rsidR="00CE1E60" w:rsidRDefault="00CE1E60">
      <w:pPr>
        <w:pStyle w:val="TOC3"/>
        <w:rPr>
          <w:rFonts w:asciiTheme="minorHAnsi" w:eastAsiaTheme="minorEastAsia" w:hAnsiTheme="minorHAnsi" w:cstheme="minorBidi"/>
          <w:noProof/>
          <w:sz w:val="22"/>
        </w:rPr>
      </w:pPr>
      <w:r>
        <w:rPr>
          <w:noProof/>
        </w:rPr>
        <w:t>Tax credits reduce emissions.  If they were extended, they would cut electric power sector emissions by 42%</w:t>
      </w:r>
      <w:r>
        <w:rPr>
          <w:noProof/>
        </w:rPr>
        <w:tab/>
      </w:r>
      <w:r>
        <w:rPr>
          <w:noProof/>
        </w:rPr>
        <w:fldChar w:fldCharType="begin"/>
      </w:r>
      <w:r>
        <w:rPr>
          <w:noProof/>
        </w:rPr>
        <w:instrText xml:space="preserve"> PAGEREF _Toc26629943 \h </w:instrText>
      </w:r>
      <w:r>
        <w:rPr>
          <w:noProof/>
        </w:rPr>
      </w:r>
      <w:r>
        <w:rPr>
          <w:noProof/>
        </w:rPr>
        <w:fldChar w:fldCharType="separate"/>
      </w:r>
      <w:r>
        <w:rPr>
          <w:noProof/>
        </w:rPr>
        <w:t>7</w:t>
      </w:r>
      <w:r>
        <w:rPr>
          <w:noProof/>
        </w:rPr>
        <w:fldChar w:fldCharType="end"/>
      </w:r>
    </w:p>
    <w:p w14:paraId="4F0DC57C" w14:textId="7F446765" w:rsidR="00CE1E60" w:rsidRDefault="00CE1E60">
      <w:pPr>
        <w:pStyle w:val="TOC3"/>
        <w:rPr>
          <w:rFonts w:asciiTheme="minorHAnsi" w:eastAsiaTheme="minorEastAsia" w:hAnsiTheme="minorHAnsi" w:cstheme="minorBidi"/>
          <w:noProof/>
          <w:sz w:val="22"/>
        </w:rPr>
      </w:pPr>
      <w:r>
        <w:rPr>
          <w:noProof/>
        </w:rPr>
        <w:lastRenderedPageBreak/>
        <w:t>Link:  Less wind energy without PTC.  DOE study finds “PTC has been critical” to wind development</w:t>
      </w:r>
      <w:r>
        <w:rPr>
          <w:noProof/>
        </w:rPr>
        <w:tab/>
      </w:r>
      <w:r>
        <w:rPr>
          <w:noProof/>
        </w:rPr>
        <w:fldChar w:fldCharType="begin"/>
      </w:r>
      <w:r>
        <w:rPr>
          <w:noProof/>
        </w:rPr>
        <w:instrText xml:space="preserve"> PAGEREF _Toc26629944 \h </w:instrText>
      </w:r>
      <w:r>
        <w:rPr>
          <w:noProof/>
        </w:rPr>
      </w:r>
      <w:r>
        <w:rPr>
          <w:noProof/>
        </w:rPr>
        <w:fldChar w:fldCharType="separate"/>
      </w:r>
      <w:r>
        <w:rPr>
          <w:noProof/>
        </w:rPr>
        <w:t>7</w:t>
      </w:r>
      <w:r>
        <w:rPr>
          <w:noProof/>
        </w:rPr>
        <w:fldChar w:fldCharType="end"/>
      </w:r>
    </w:p>
    <w:p w14:paraId="5E5E0667" w14:textId="0F330E37" w:rsidR="00CE1E60" w:rsidRDefault="00CE1E60">
      <w:pPr>
        <w:pStyle w:val="TOC3"/>
        <w:rPr>
          <w:rFonts w:asciiTheme="minorHAnsi" w:eastAsiaTheme="minorEastAsia" w:hAnsiTheme="minorHAnsi" w:cstheme="minorBidi"/>
          <w:noProof/>
          <w:sz w:val="22"/>
        </w:rPr>
      </w:pPr>
      <w:r>
        <w:rPr>
          <w:noProof/>
        </w:rPr>
        <w:t>Link:  Wind energy reduces pollution – it’s a clean alternative to fossil fuels</w:t>
      </w:r>
      <w:r>
        <w:rPr>
          <w:noProof/>
        </w:rPr>
        <w:tab/>
      </w:r>
      <w:r>
        <w:rPr>
          <w:noProof/>
        </w:rPr>
        <w:fldChar w:fldCharType="begin"/>
      </w:r>
      <w:r>
        <w:rPr>
          <w:noProof/>
        </w:rPr>
        <w:instrText xml:space="preserve"> PAGEREF _Toc26629945 \h </w:instrText>
      </w:r>
      <w:r>
        <w:rPr>
          <w:noProof/>
        </w:rPr>
      </w:r>
      <w:r>
        <w:rPr>
          <w:noProof/>
        </w:rPr>
        <w:fldChar w:fldCharType="separate"/>
      </w:r>
      <w:r>
        <w:rPr>
          <w:noProof/>
        </w:rPr>
        <w:t>7</w:t>
      </w:r>
      <w:r>
        <w:rPr>
          <w:noProof/>
        </w:rPr>
        <w:fldChar w:fldCharType="end"/>
      </w:r>
    </w:p>
    <w:p w14:paraId="58288DE2" w14:textId="10A1F180" w:rsidR="00CE1E60" w:rsidRDefault="00CE1E60">
      <w:pPr>
        <w:pStyle w:val="TOC3"/>
        <w:rPr>
          <w:rFonts w:asciiTheme="minorHAnsi" w:eastAsiaTheme="minorEastAsia" w:hAnsiTheme="minorHAnsi" w:cstheme="minorBidi"/>
          <w:noProof/>
          <w:sz w:val="22"/>
        </w:rPr>
      </w:pPr>
      <w:r>
        <w:rPr>
          <w:noProof/>
        </w:rPr>
        <w:t>Impact:  Carbon emissions cause human health risks, property damage and environmental hazards</w:t>
      </w:r>
      <w:r>
        <w:rPr>
          <w:noProof/>
        </w:rPr>
        <w:tab/>
      </w:r>
      <w:r>
        <w:rPr>
          <w:noProof/>
        </w:rPr>
        <w:fldChar w:fldCharType="begin"/>
      </w:r>
      <w:r>
        <w:rPr>
          <w:noProof/>
        </w:rPr>
        <w:instrText xml:space="preserve"> PAGEREF _Toc26629946 \h </w:instrText>
      </w:r>
      <w:r>
        <w:rPr>
          <w:noProof/>
        </w:rPr>
      </w:r>
      <w:r>
        <w:rPr>
          <w:noProof/>
        </w:rPr>
        <w:fldChar w:fldCharType="separate"/>
      </w:r>
      <w:r>
        <w:rPr>
          <w:noProof/>
        </w:rPr>
        <w:t>7</w:t>
      </w:r>
      <w:r>
        <w:rPr>
          <w:noProof/>
        </w:rPr>
        <w:fldChar w:fldCharType="end"/>
      </w:r>
    </w:p>
    <w:p w14:paraId="26D80998" w14:textId="33067FF4" w:rsidR="00CE1E60" w:rsidRDefault="00CE1E60">
      <w:pPr>
        <w:pStyle w:val="TOC3"/>
        <w:rPr>
          <w:rFonts w:asciiTheme="minorHAnsi" w:eastAsiaTheme="minorEastAsia" w:hAnsiTheme="minorHAnsi" w:cstheme="minorBidi"/>
          <w:noProof/>
          <w:sz w:val="22"/>
        </w:rPr>
      </w:pPr>
      <w:r>
        <w:rPr>
          <w:noProof/>
        </w:rPr>
        <w:t>Impact:  Pollution particles cause sickness &amp; death.</w:t>
      </w:r>
      <w:r>
        <w:rPr>
          <w:noProof/>
        </w:rPr>
        <w:tab/>
      </w:r>
      <w:r>
        <w:rPr>
          <w:noProof/>
        </w:rPr>
        <w:fldChar w:fldCharType="begin"/>
      </w:r>
      <w:r>
        <w:rPr>
          <w:noProof/>
        </w:rPr>
        <w:instrText xml:space="preserve"> PAGEREF _Toc26629947 \h </w:instrText>
      </w:r>
      <w:r>
        <w:rPr>
          <w:noProof/>
        </w:rPr>
      </w:r>
      <w:r>
        <w:rPr>
          <w:noProof/>
        </w:rPr>
        <w:fldChar w:fldCharType="separate"/>
      </w:r>
      <w:r>
        <w:rPr>
          <w:noProof/>
        </w:rPr>
        <w:t>8</w:t>
      </w:r>
      <w:r>
        <w:rPr>
          <w:noProof/>
        </w:rPr>
        <w:fldChar w:fldCharType="end"/>
      </w:r>
    </w:p>
    <w:p w14:paraId="48F4D4AD" w14:textId="3BDEFE4D" w:rsidR="00CE1E60" w:rsidRDefault="00CE1E60">
      <w:pPr>
        <w:pStyle w:val="TOC2"/>
        <w:rPr>
          <w:rFonts w:asciiTheme="minorHAnsi" w:eastAsiaTheme="minorEastAsia" w:hAnsiTheme="minorHAnsi" w:cstheme="minorBidi"/>
          <w:noProof/>
          <w:sz w:val="22"/>
        </w:rPr>
      </w:pPr>
      <w:r>
        <w:rPr>
          <w:noProof/>
        </w:rPr>
        <w:t>3.  Net social costs</w:t>
      </w:r>
      <w:r>
        <w:rPr>
          <w:noProof/>
        </w:rPr>
        <w:tab/>
      </w:r>
      <w:r>
        <w:rPr>
          <w:noProof/>
        </w:rPr>
        <w:fldChar w:fldCharType="begin"/>
      </w:r>
      <w:r>
        <w:rPr>
          <w:noProof/>
        </w:rPr>
        <w:instrText xml:space="preserve"> PAGEREF _Toc26629948 \h </w:instrText>
      </w:r>
      <w:r>
        <w:rPr>
          <w:noProof/>
        </w:rPr>
      </w:r>
      <w:r>
        <w:rPr>
          <w:noProof/>
        </w:rPr>
        <w:fldChar w:fldCharType="separate"/>
      </w:r>
      <w:r>
        <w:rPr>
          <w:noProof/>
        </w:rPr>
        <w:t>8</w:t>
      </w:r>
      <w:r>
        <w:rPr>
          <w:noProof/>
        </w:rPr>
        <w:fldChar w:fldCharType="end"/>
      </w:r>
    </w:p>
    <w:p w14:paraId="738FBD1F" w14:textId="113DA495" w:rsidR="00CE1E60" w:rsidRDefault="00CE1E60">
      <w:pPr>
        <w:pStyle w:val="TOC3"/>
        <w:rPr>
          <w:rFonts w:asciiTheme="minorHAnsi" w:eastAsiaTheme="minorEastAsia" w:hAnsiTheme="minorHAnsi" w:cstheme="minorBidi"/>
          <w:noProof/>
          <w:sz w:val="22"/>
        </w:rPr>
      </w:pPr>
      <w:r>
        <w:rPr>
          <w:noProof/>
        </w:rPr>
        <w:t>Cost to society of dealing with pollution and health problems outweighs the fiscal cost of PTC tax credit</w:t>
      </w:r>
      <w:r>
        <w:rPr>
          <w:noProof/>
        </w:rPr>
        <w:tab/>
      </w:r>
      <w:r>
        <w:rPr>
          <w:noProof/>
        </w:rPr>
        <w:fldChar w:fldCharType="begin"/>
      </w:r>
      <w:r>
        <w:rPr>
          <w:noProof/>
        </w:rPr>
        <w:instrText xml:space="preserve"> PAGEREF _Toc26629949 \h </w:instrText>
      </w:r>
      <w:r>
        <w:rPr>
          <w:noProof/>
        </w:rPr>
      </w:r>
      <w:r>
        <w:rPr>
          <w:noProof/>
        </w:rPr>
        <w:fldChar w:fldCharType="separate"/>
      </w:r>
      <w:r>
        <w:rPr>
          <w:noProof/>
        </w:rPr>
        <w:t>8</w:t>
      </w:r>
      <w:r>
        <w:rPr>
          <w:noProof/>
        </w:rPr>
        <w:fldChar w:fldCharType="end"/>
      </w:r>
    </w:p>
    <w:p w14:paraId="6C574B04" w14:textId="410E8B70" w:rsidR="00CE1E60" w:rsidRDefault="00CE1E60">
      <w:pPr>
        <w:pStyle w:val="TOC1"/>
        <w:rPr>
          <w:rFonts w:asciiTheme="minorHAnsi" w:eastAsiaTheme="minorEastAsia" w:hAnsiTheme="minorHAnsi" w:cstheme="minorBidi"/>
          <w:b w:val="0"/>
          <w:noProof/>
        </w:rPr>
      </w:pPr>
      <w:r>
        <w:rPr>
          <w:noProof/>
        </w:rPr>
        <w:t>Works Cited</w:t>
      </w:r>
      <w:r>
        <w:rPr>
          <w:noProof/>
        </w:rPr>
        <w:tab/>
      </w:r>
      <w:r>
        <w:rPr>
          <w:noProof/>
        </w:rPr>
        <w:fldChar w:fldCharType="begin"/>
      </w:r>
      <w:r>
        <w:rPr>
          <w:noProof/>
        </w:rPr>
        <w:instrText xml:space="preserve"> PAGEREF _Toc26629950 \h </w:instrText>
      </w:r>
      <w:r>
        <w:rPr>
          <w:noProof/>
        </w:rPr>
      </w:r>
      <w:r>
        <w:rPr>
          <w:noProof/>
        </w:rPr>
        <w:fldChar w:fldCharType="separate"/>
      </w:r>
      <w:r>
        <w:rPr>
          <w:noProof/>
        </w:rPr>
        <w:t>9</w:t>
      </w:r>
      <w:r>
        <w:rPr>
          <w:noProof/>
        </w:rPr>
        <w:fldChar w:fldCharType="end"/>
      </w:r>
    </w:p>
    <w:p w14:paraId="5D7F073C" w14:textId="1084752F" w:rsidR="00D462AA" w:rsidRDefault="00DA2F2D" w:rsidP="00303BC4">
      <w:pPr>
        <w:pStyle w:val="Title2"/>
      </w:pPr>
      <w:r>
        <w:rPr>
          <w:sz w:val="22"/>
        </w:rPr>
        <w:lastRenderedPageBreak/>
        <w:fldChar w:fldCharType="end"/>
      </w:r>
      <w:bookmarkStart w:id="1" w:name="_Toc26629915"/>
      <w:r w:rsidR="00EE1E8E">
        <w:t xml:space="preserve">Negative:  </w:t>
      </w:r>
      <w:r w:rsidR="001A506B">
        <w:t>Production</w:t>
      </w:r>
      <w:r w:rsidR="007045AC">
        <w:t xml:space="preserve"> Tax Credits</w:t>
      </w:r>
      <w:r w:rsidR="001A506B">
        <w:t xml:space="preserve"> - good</w:t>
      </w:r>
      <w:bookmarkEnd w:id="1"/>
    </w:p>
    <w:p w14:paraId="45F1D2E1" w14:textId="5CCB1E66" w:rsidR="00697B6D" w:rsidRDefault="006B53A4" w:rsidP="00007079">
      <w:pPr>
        <w:pStyle w:val="Contention1"/>
      </w:pPr>
      <w:bookmarkStart w:id="2" w:name="_Toc26629916"/>
      <w:r>
        <w:t>TOPICALITY</w:t>
      </w:r>
      <w:bookmarkEnd w:id="2"/>
    </w:p>
    <w:p w14:paraId="775A0AFD" w14:textId="1FCC263F" w:rsidR="006B53A4" w:rsidRDefault="006B53A4" w:rsidP="00007079">
      <w:pPr>
        <w:pStyle w:val="Contention1"/>
      </w:pPr>
      <w:bookmarkStart w:id="3" w:name="_Toc26629917"/>
      <w:r>
        <w:t>1.  No substantial reform, just more of the Status Quo</w:t>
      </w:r>
      <w:bookmarkEnd w:id="3"/>
    </w:p>
    <w:p w14:paraId="75E3F0F0" w14:textId="7BF9BA41" w:rsidR="006B53A4" w:rsidRDefault="006B53A4" w:rsidP="006B53A4">
      <w:pPr>
        <w:pStyle w:val="Contention2"/>
      </w:pPr>
      <w:bookmarkStart w:id="4" w:name="_Toc26629918"/>
      <w:r>
        <w:t>Status Quo is already ending PTC</w:t>
      </w:r>
      <w:bookmarkEnd w:id="4"/>
    </w:p>
    <w:p w14:paraId="366B4986" w14:textId="7125C183" w:rsidR="00181EC3" w:rsidRDefault="00181EC3" w:rsidP="00181EC3">
      <w:pPr>
        <w:pStyle w:val="Citation3"/>
      </w:pPr>
      <w:bookmarkStart w:id="5" w:name="_Toc26622993"/>
      <w:bookmarkStart w:id="6" w:name="_Toc26627693"/>
      <w:r w:rsidRPr="00181EC3">
        <w:rPr>
          <w:u w:val="single"/>
        </w:rPr>
        <w:t>Chad Mills, Daniel Lee and John Montgomery 2019</w:t>
      </w:r>
      <w:r>
        <w:t xml:space="preserve"> (all are attorneys with Hayes Boone law firm in Houston, Tex.) 29 Sept 2019 Renewables Trends and Regulatory Updates </w:t>
      </w:r>
      <w:hyperlink r:id="rId7" w:history="1">
        <w:r>
          <w:rPr>
            <w:rStyle w:val="Hyperlink"/>
          </w:rPr>
          <w:t>https://www.haynesboone.com/-/media/files/attorney-publications/2019/renewables-article-for-hb-energy-roundup.ashx?la=en&amp;hash=B10184E2FE1DA29370ECE369666C2138A16E4992</w:t>
        </w:r>
        <w:bookmarkEnd w:id="5"/>
        <w:bookmarkEnd w:id="6"/>
      </w:hyperlink>
    </w:p>
    <w:p w14:paraId="1EB61C2E" w14:textId="19989D41" w:rsidR="00F476AD" w:rsidRDefault="00181EC3" w:rsidP="00181EC3">
      <w:pPr>
        <w:pStyle w:val="Evidence"/>
      </w:pPr>
      <w:r w:rsidRPr="00181EC3">
        <w:t>The Production Tax Credit (PTC) has been one major driver of wind project construction. The U.S. Energy Information Administration currently projects that U.S. wind capacity additions in 2019 will total 12.7 gigawatts (GW), exceeding annual capacity additions in each of the previous six years but falling short of the 13.3 GW of wind capacity added in 2012 (when the PTC was initially set to expire). While wind facilities commencing construction in recent years have been subject to a yearly phase-down of the PTC, wind facilities commencing construction after 2019 are not be able to claim the PTC.</w:t>
      </w:r>
    </w:p>
    <w:p w14:paraId="0ED580B0" w14:textId="5E33C842" w:rsidR="00181EC3" w:rsidRDefault="00181EC3" w:rsidP="00181EC3">
      <w:pPr>
        <w:pStyle w:val="Contention2"/>
      </w:pPr>
      <w:bookmarkStart w:id="7" w:name="_Toc26629919"/>
      <w:r>
        <w:t>Violation:  More of the Status Quo isn’t a substantial (or even a minor) reform</w:t>
      </w:r>
      <w:bookmarkEnd w:id="7"/>
    </w:p>
    <w:p w14:paraId="03967ACD" w14:textId="5A9213E3" w:rsidR="00181EC3" w:rsidRDefault="00181EC3" w:rsidP="00181EC3">
      <w:pPr>
        <w:pStyle w:val="Evidence"/>
      </w:pPr>
      <w:r>
        <w:t xml:space="preserve">Canceling something </w:t>
      </w:r>
      <w:proofErr w:type="gramStart"/>
      <w:r>
        <w:t>that’s</w:t>
      </w:r>
      <w:proofErr w:type="gramEnd"/>
      <w:r>
        <w:t xml:space="preserve"> already being canceled is not a substantial reform of anything.</w:t>
      </w:r>
    </w:p>
    <w:p w14:paraId="3111CE85" w14:textId="34FA3297" w:rsidR="00181EC3" w:rsidRDefault="00181EC3" w:rsidP="00181EC3">
      <w:pPr>
        <w:pStyle w:val="Contention2"/>
      </w:pPr>
      <w:bookmarkStart w:id="8" w:name="_Toc26629920"/>
      <w:r>
        <w:t>Impact:  No Affirmative team</w:t>
      </w:r>
      <w:bookmarkEnd w:id="8"/>
    </w:p>
    <w:p w14:paraId="7D739C13" w14:textId="3AEC4600" w:rsidR="00181EC3" w:rsidRPr="00181EC3" w:rsidRDefault="00181EC3" w:rsidP="00181EC3">
      <w:pPr>
        <w:pStyle w:val="Evidence"/>
      </w:pPr>
      <w:r>
        <w:t xml:space="preserve">No one showed up in the room today to affirm the resolution.  Both sides are agreeing with Status Quo policy, which is the territory of the Negative team.  Since no one is affirming substantial reform and there </w:t>
      </w:r>
      <w:proofErr w:type="gramStart"/>
      <w:r>
        <w:t>are</w:t>
      </w:r>
      <w:proofErr w:type="gramEnd"/>
      <w:r>
        <w:t xml:space="preserve"> 2 teams advocating the Negative position of Status Quo, no matter who wins you should write “Negative” on the ballot as the winner.</w:t>
      </w:r>
    </w:p>
    <w:p w14:paraId="7F4E075F" w14:textId="428CBB24" w:rsidR="00F476AD" w:rsidRDefault="00F476AD" w:rsidP="00007079">
      <w:pPr>
        <w:pStyle w:val="Contention1"/>
      </w:pPr>
      <w:bookmarkStart w:id="9" w:name="_Toc26629921"/>
      <w:r>
        <w:t>INHERENCY</w:t>
      </w:r>
      <w:bookmarkEnd w:id="9"/>
    </w:p>
    <w:p w14:paraId="2BF43796" w14:textId="5F90DABA" w:rsidR="00F476AD" w:rsidRDefault="00F476AD" w:rsidP="00007079">
      <w:pPr>
        <w:pStyle w:val="Contention1"/>
      </w:pPr>
      <w:bookmarkStart w:id="10" w:name="_Toc26629922"/>
      <w:r>
        <w:t xml:space="preserve">1.  Wind PTC already </w:t>
      </w:r>
      <w:r w:rsidR="00675DC1">
        <w:t>phasing out</w:t>
      </w:r>
      <w:bookmarkEnd w:id="10"/>
    </w:p>
    <w:p w14:paraId="76F2FC99" w14:textId="2C19A1E7" w:rsidR="00F476AD" w:rsidRDefault="00F476AD" w:rsidP="00F476AD">
      <w:pPr>
        <w:pStyle w:val="Contention2"/>
      </w:pPr>
      <w:bookmarkStart w:id="11" w:name="_Toc26629923"/>
      <w:r>
        <w:t>PTC for wind energy terminates at the end of 2019 under current law</w:t>
      </w:r>
      <w:bookmarkEnd w:id="11"/>
    </w:p>
    <w:p w14:paraId="6E64E34C" w14:textId="3C40E7BF" w:rsidR="00F476AD" w:rsidRPr="00F476AD" w:rsidRDefault="00F476AD" w:rsidP="00F476AD">
      <w:pPr>
        <w:pStyle w:val="Citation3"/>
      </w:pPr>
      <w:bookmarkStart w:id="12" w:name="_Toc26622994"/>
      <w:bookmarkStart w:id="13" w:name="_Toc26627694"/>
      <w:r w:rsidRPr="00D63B08">
        <w:rPr>
          <w:rStyle w:val="Emphasis"/>
          <w:i/>
          <w:iCs w:val="0"/>
          <w:u w:val="single"/>
        </w:rPr>
        <w:t>Benjamin Silliman 2019</w:t>
      </w:r>
      <w:r>
        <w:rPr>
          <w:rStyle w:val="Emphasis"/>
          <w:i/>
          <w:iCs w:val="0"/>
        </w:rPr>
        <w:t xml:space="preserve"> (</w:t>
      </w:r>
      <w:r w:rsidRPr="00F476AD">
        <w:rPr>
          <w:rStyle w:val="Emphasis"/>
          <w:i/>
          <w:iCs w:val="0"/>
        </w:rPr>
        <w:t>research associate for energy and U.S. foreign policy at the Council on Foreign Relations) 15 July 2019 “</w:t>
      </w:r>
      <w:r w:rsidRPr="00F476AD">
        <w:t xml:space="preserve">A New Dawn for Wind Energy Infrastructure </w:t>
      </w:r>
      <w:proofErr w:type="gramStart"/>
      <w:r w:rsidRPr="00F476AD">
        <w:t>After</w:t>
      </w:r>
      <w:proofErr w:type="gramEnd"/>
      <w:r w:rsidRPr="00F476AD">
        <w:t xml:space="preserve"> the Production Tax Credit Sunset” </w:t>
      </w:r>
      <w:hyperlink r:id="rId8" w:history="1">
        <w:r w:rsidRPr="00F476AD">
          <w:rPr>
            <w:rStyle w:val="Hyperlink"/>
            <w:color w:val="auto"/>
            <w:u w:val="none"/>
          </w:rPr>
          <w:t>https://www.cfr.org/blog/new-dawn-wind-energy-infrastructure-after-production-tax-credit-sunset</w:t>
        </w:r>
        <w:bookmarkEnd w:id="12"/>
        <w:bookmarkEnd w:id="13"/>
      </w:hyperlink>
    </w:p>
    <w:p w14:paraId="5E6218BE" w14:textId="0E0D2ECC" w:rsidR="00F476AD" w:rsidRDefault="00F476AD" w:rsidP="00F476AD">
      <w:pPr>
        <w:pStyle w:val="Evidence"/>
      </w:pPr>
      <w:r w:rsidRPr="00F476AD">
        <w:t>The wind industry is approaching the end of its federal financial support. The </w:t>
      </w:r>
      <w:hyperlink r:id="rId9" w:tgtFrame="_blank" w:tooltip="Production Tax Credit" w:history="1">
        <w:r w:rsidRPr="00F476AD">
          <w:rPr>
            <w:rStyle w:val="Hyperlink"/>
            <w:color w:val="000000"/>
            <w:u w:val="none"/>
          </w:rPr>
          <w:t>Production Tax Credit</w:t>
        </w:r>
      </w:hyperlink>
      <w:r w:rsidRPr="00F476AD">
        <w:t xml:space="preserve"> (PTC), which </w:t>
      </w:r>
      <w:proofErr w:type="gramStart"/>
      <w:r w:rsidRPr="00F476AD">
        <w:t>was designed</w:t>
      </w:r>
      <w:proofErr w:type="gramEnd"/>
      <w:r w:rsidRPr="00F476AD">
        <w:t xml:space="preserve"> to drive investment by providing reductions in tax liability for renewable energy producers, is set to expire for large wind facilities at the end of this year, meaning that no wind projects entering construction or procuring equipment after the next few months will be eligible for federal support.</w:t>
      </w:r>
    </w:p>
    <w:p w14:paraId="2AC8EF26" w14:textId="0120B30C" w:rsidR="00675DC1" w:rsidRDefault="0015137D" w:rsidP="00675DC1">
      <w:pPr>
        <w:pStyle w:val="Contention2"/>
      </w:pPr>
      <w:bookmarkStart w:id="14" w:name="_Toc26629924"/>
      <w:r>
        <w:lastRenderedPageBreak/>
        <w:t xml:space="preserve">If </w:t>
      </w:r>
      <w:proofErr w:type="gramStart"/>
      <w:r>
        <w:t>it’s</w:t>
      </w:r>
      <w:proofErr w:type="gramEnd"/>
      <w:r>
        <w:t xml:space="preserve"> eliminated, w</w:t>
      </w:r>
      <w:r w:rsidR="00675DC1">
        <w:t>hy does AFF’s evidence say it is costing lost revenues to the federal budget?  Because systems installed before the deadline get the credit for 10 years</w:t>
      </w:r>
      <w:bookmarkEnd w:id="14"/>
    </w:p>
    <w:p w14:paraId="3B6B6792" w14:textId="068CCEA8" w:rsidR="00675DC1" w:rsidRPr="00675DC1" w:rsidRDefault="00675DC1" w:rsidP="00675DC1">
      <w:pPr>
        <w:pStyle w:val="Citation3"/>
      </w:pPr>
      <w:bookmarkStart w:id="15" w:name="_Toc26622995"/>
      <w:bookmarkStart w:id="16" w:name="_Toc26627695"/>
      <w:r w:rsidRPr="00675DC1">
        <w:rPr>
          <w:u w:val="single"/>
        </w:rPr>
        <w:t>US Energy Information Administration 2019 (</w:t>
      </w:r>
      <w:r w:rsidRPr="00675DC1">
        <w:t xml:space="preserve">part of the US </w:t>
      </w:r>
      <w:proofErr w:type="spellStart"/>
      <w:r w:rsidRPr="00675DC1">
        <w:t>Dept</w:t>
      </w:r>
      <w:proofErr w:type="spellEnd"/>
      <w:r w:rsidRPr="00675DC1">
        <w:t xml:space="preserve"> of Energy) 15 May 2019 “</w:t>
      </w:r>
      <w:hyperlink r:id="rId10" w:history="1">
        <w:r w:rsidRPr="00675DC1">
          <w:rPr>
            <w:rStyle w:val="Hyperlink"/>
            <w:color w:val="auto"/>
            <w:u w:val="none"/>
          </w:rPr>
          <w:t>Tax credit phaseout encourages more wind power plants to be added by end of year</w:t>
        </w:r>
      </w:hyperlink>
      <w:r w:rsidRPr="00675DC1">
        <w:t xml:space="preserve">” </w:t>
      </w:r>
      <w:hyperlink r:id="rId11" w:history="1">
        <w:r w:rsidRPr="00675DC1">
          <w:rPr>
            <w:rStyle w:val="Hyperlink"/>
            <w:color w:val="auto"/>
            <w:u w:val="none"/>
          </w:rPr>
          <w:t>https://www.eia.gov/todayinenergy/detail.php?id=39472</w:t>
        </w:r>
        <w:bookmarkEnd w:id="15"/>
        <w:bookmarkEnd w:id="16"/>
      </w:hyperlink>
    </w:p>
    <w:p w14:paraId="48C35645" w14:textId="5CFFCE9C" w:rsidR="00675DC1" w:rsidRPr="00675DC1" w:rsidRDefault="00675DC1" w:rsidP="00675DC1">
      <w:pPr>
        <w:pStyle w:val="Evidence"/>
      </w:pPr>
      <w:r w:rsidRPr="00675DC1">
        <w:rPr>
          <w:u w:val="single"/>
        </w:rPr>
        <w:t xml:space="preserve">The U.S. production tax credit (PTC), which provides operators with a tax credit per </w:t>
      </w:r>
      <w:proofErr w:type="spellStart"/>
      <w:r w:rsidRPr="00675DC1">
        <w:rPr>
          <w:u w:val="single"/>
        </w:rPr>
        <w:t>kilowatthour</w:t>
      </w:r>
      <w:proofErr w:type="spellEnd"/>
      <w:r w:rsidRPr="00675DC1">
        <w:rPr>
          <w:u w:val="single"/>
        </w:rPr>
        <w:t xml:space="preserve"> of renewable electricity generation for the first 10 years a facility is in operation, was initially </w:t>
      </w:r>
      <w:hyperlink r:id="rId12" w:history="1">
        <w:r w:rsidRPr="00675DC1">
          <w:rPr>
            <w:rStyle w:val="Hyperlink"/>
            <w:color w:val="000000"/>
            <w:u w:val="single"/>
          </w:rPr>
          <w:t>set to expire for all eligible technologies at the end of 2012</w:t>
        </w:r>
      </w:hyperlink>
      <w:r w:rsidRPr="00675DC1">
        <w:rPr>
          <w:u w:val="single"/>
        </w:rPr>
        <w:t> but was later retroactively renewed</w:t>
      </w:r>
      <w:r w:rsidRPr="00675DC1">
        <w:t xml:space="preserve">. The high level of annual capacity additions in 2012 </w:t>
      </w:r>
      <w:proofErr w:type="gramStart"/>
      <w:r w:rsidRPr="00675DC1">
        <w:t>was driven</w:t>
      </w:r>
      <w:proofErr w:type="gramEnd"/>
      <w:r w:rsidRPr="00675DC1">
        <w:t xml:space="preserve"> by developers scheduling project completion in time to qualify for the PTC. Similarly, the increase in annual capacity additions for wind scheduled for 2019 </w:t>
      </w:r>
      <w:proofErr w:type="gramStart"/>
      <w:r w:rsidRPr="00675DC1">
        <w:t>is largely being driven</w:t>
      </w:r>
      <w:proofErr w:type="gramEnd"/>
      <w:r w:rsidRPr="00675DC1">
        <w:t xml:space="preserve"> by the legislated </w:t>
      </w:r>
      <w:proofErr w:type="spellStart"/>
      <w:r w:rsidR="00301783">
        <w:fldChar w:fldCharType="begin"/>
      </w:r>
      <w:r w:rsidR="00301783">
        <w:instrText xml:space="preserve"> HYPERLINK "https://www.eia.gov/todayinenergy/detail.php?id=26492" </w:instrText>
      </w:r>
      <w:r w:rsidR="00301783">
        <w:fldChar w:fldCharType="separate"/>
      </w:r>
      <w:r w:rsidRPr="00675DC1">
        <w:rPr>
          <w:rStyle w:val="Hyperlink"/>
          <w:color w:val="000000"/>
          <w:u w:val="none"/>
        </w:rPr>
        <w:t>phaseout</w:t>
      </w:r>
      <w:proofErr w:type="spellEnd"/>
      <w:r w:rsidRPr="00675DC1">
        <w:rPr>
          <w:rStyle w:val="Hyperlink"/>
          <w:color w:val="000000"/>
          <w:u w:val="none"/>
        </w:rPr>
        <w:t xml:space="preserve"> of the PTC extension for wind</w:t>
      </w:r>
      <w:r w:rsidR="00301783">
        <w:rPr>
          <w:rStyle w:val="Hyperlink"/>
          <w:color w:val="000000"/>
          <w:u w:val="none"/>
        </w:rPr>
        <w:fldChar w:fldCharType="end"/>
      </w:r>
      <w:r w:rsidRPr="00675DC1">
        <w:t xml:space="preserve">. When renewed in 2013, the PTC provided a maximum tax credit for wind generation of 2.3 cents per </w:t>
      </w:r>
      <w:proofErr w:type="spellStart"/>
      <w:r w:rsidRPr="00675DC1">
        <w:t>kilowatthour</w:t>
      </w:r>
      <w:proofErr w:type="spellEnd"/>
      <w:r w:rsidRPr="00675DC1">
        <w:t xml:space="preserve"> (kWh) for the first 10 years of production. </w:t>
      </w:r>
      <w:r w:rsidRPr="00675DC1">
        <w:rPr>
          <w:u w:val="single"/>
        </w:rPr>
        <w:t xml:space="preserve">Under the PTC </w:t>
      </w:r>
      <w:proofErr w:type="spellStart"/>
      <w:r w:rsidRPr="00675DC1">
        <w:rPr>
          <w:u w:val="single"/>
        </w:rPr>
        <w:t>phaseout</w:t>
      </w:r>
      <w:proofErr w:type="spellEnd"/>
      <w:r w:rsidRPr="00675DC1">
        <w:rPr>
          <w:u w:val="single"/>
        </w:rPr>
        <w:t xml:space="preserve">, the amount of the tax credit decreases by 20 percentage points per year from 2017 through 2019. Facilities that begin construction after December 31, 2019, will not be able to claim the PTC. Under the current PTC legislation, wind projects are eligible to receive credit based on either the year the project begins operation or the year in which they demonstrate that 5% of total capital cost for the project </w:t>
      </w:r>
      <w:proofErr w:type="gramStart"/>
      <w:r w:rsidRPr="00675DC1">
        <w:rPr>
          <w:u w:val="single"/>
        </w:rPr>
        <w:t>has been spent</w:t>
      </w:r>
      <w:proofErr w:type="gramEnd"/>
      <w:r w:rsidRPr="00675DC1">
        <w:rPr>
          <w:u w:val="single"/>
        </w:rPr>
        <w:t xml:space="preserve"> and project construction has begun.</w:t>
      </w:r>
      <w:r w:rsidRPr="00675DC1">
        <w:t xml:space="preserve"> This 5% down method, known as safe harboring, enables wind developers to receive the PTC at a given year’s level, provided they complete construction no more than four calendar years after the calendar year that construction of the facility began. </w:t>
      </w:r>
      <w:r w:rsidRPr="00675DC1">
        <w:rPr>
          <w:u w:val="single"/>
        </w:rPr>
        <w:t>U.S. wind project developers who want to receive the full 2016 value of the PTC must begin operations by the end of 2020</w:t>
      </w:r>
      <w:r w:rsidRPr="00675DC1">
        <w:t>.</w:t>
      </w:r>
    </w:p>
    <w:p w14:paraId="26766A52" w14:textId="0B169FA2" w:rsidR="00D63B08" w:rsidRDefault="00D63B08" w:rsidP="00D63B08">
      <w:pPr>
        <w:pStyle w:val="Contention1"/>
      </w:pPr>
      <w:bookmarkStart w:id="17" w:name="_Toc26629925"/>
      <w:r>
        <w:t>2.   All other PTC (solar, etc. - everything besides wind) has already terminated</w:t>
      </w:r>
      <w:bookmarkEnd w:id="17"/>
    </w:p>
    <w:p w14:paraId="7DF6C557" w14:textId="0B363533" w:rsidR="003F669E" w:rsidRDefault="00201915" w:rsidP="003F669E">
      <w:pPr>
        <w:pStyle w:val="Contention2"/>
      </w:pPr>
      <w:bookmarkStart w:id="18" w:name="_Toc26629926"/>
      <w:r>
        <w:t>PTC for other energy sources besides wind have already expired</w:t>
      </w:r>
      <w:bookmarkEnd w:id="18"/>
    </w:p>
    <w:p w14:paraId="1C4D3967" w14:textId="228236AF" w:rsidR="00D63B08" w:rsidRPr="006B53A4" w:rsidRDefault="006B53A4" w:rsidP="006B53A4">
      <w:pPr>
        <w:pStyle w:val="Citation3"/>
      </w:pPr>
      <w:bookmarkStart w:id="19" w:name="_Toc26622996"/>
      <w:bookmarkStart w:id="20" w:name="_Toc26627696"/>
      <w:r w:rsidRPr="006B53A4">
        <w:rPr>
          <w:u w:val="single"/>
        </w:rPr>
        <w:t xml:space="preserve">Zach </w:t>
      </w:r>
      <w:proofErr w:type="spellStart"/>
      <w:r w:rsidRPr="006B53A4">
        <w:rPr>
          <w:u w:val="single"/>
        </w:rPr>
        <w:t>Starsia</w:t>
      </w:r>
      <w:proofErr w:type="spellEnd"/>
      <w:r w:rsidRPr="006B53A4">
        <w:rPr>
          <w:u w:val="single"/>
        </w:rPr>
        <w:t xml:space="preserve"> 2019</w:t>
      </w:r>
      <w:r w:rsidRPr="006B53A4">
        <w:t xml:space="preserve"> (journalist) 5 Apr 2019 “What Corporate Buyers of Renewable Energy Need to Know About Wind and Solar Tax Credits” </w:t>
      </w:r>
      <w:hyperlink r:id="rId13" w:history="1">
        <w:r w:rsidR="00D63B08" w:rsidRPr="006B53A4">
          <w:rPr>
            <w:rStyle w:val="Hyperlink"/>
            <w:color w:val="auto"/>
            <w:u w:val="none"/>
          </w:rPr>
          <w:t>https://leveltenenergy.com/blog/energy-procurement/renewable-energy-tax-credits/</w:t>
        </w:r>
        <w:bookmarkEnd w:id="19"/>
        <w:bookmarkEnd w:id="20"/>
      </w:hyperlink>
    </w:p>
    <w:p w14:paraId="4CFB4833" w14:textId="3DD3D505" w:rsidR="00D63B08" w:rsidRPr="00D63B08" w:rsidRDefault="00D63B08" w:rsidP="00D63B08">
      <w:pPr>
        <w:pStyle w:val="Evidence"/>
      </w:pPr>
      <w:r w:rsidRPr="00D63B08">
        <w:t xml:space="preserve">The Renewable Electricity Production Tax Credit (PTC) gives project developers a tax credit for every </w:t>
      </w:r>
      <w:proofErr w:type="gramStart"/>
      <w:r w:rsidRPr="00D63B08">
        <w:t>kilowatt hour</w:t>
      </w:r>
      <w:proofErr w:type="gramEnd"/>
      <w:r w:rsidRPr="00D63B08">
        <w:t xml:space="preserve"> (kWh) of clean energy that they sell, for up to 10 years. The amount of the credit </w:t>
      </w:r>
      <w:proofErr w:type="gramStart"/>
      <w:r w:rsidRPr="00D63B08">
        <w:t>is adjusted</w:t>
      </w:r>
      <w:proofErr w:type="gramEnd"/>
      <w:r w:rsidRPr="00D63B08">
        <w:t xml:space="preserve"> for inflation; in 2018, it was $0.024 per kWh. That means that with the PTC, developers can deduct 2.4 cents from the price of their power (per kWh) and still cover their costs.  This means that if energy prices reach $0, they can still afford to generate power.</w:t>
      </w:r>
      <w:r>
        <w:t xml:space="preserve"> </w:t>
      </w:r>
      <w:r w:rsidRPr="00D63B08">
        <w:t xml:space="preserve">The only types of clean energy projects (that </w:t>
      </w:r>
      <w:proofErr w:type="gramStart"/>
      <w:r w:rsidRPr="00D63B08">
        <w:t>haven’t</w:t>
      </w:r>
      <w:proofErr w:type="gramEnd"/>
      <w:r w:rsidRPr="00D63B08">
        <w:t xml:space="preserve"> been built yet) that can still take advantage of the PTC are large-scale wind projects, as long as they commence construction in 2019; the credit expires in 2020. Production tax credits for other technologies have already expired, which is why the PTC </w:t>
      </w:r>
      <w:proofErr w:type="gramStart"/>
      <w:r w:rsidRPr="00D63B08">
        <w:t>is now often referred</w:t>
      </w:r>
      <w:proofErr w:type="gramEnd"/>
      <w:r w:rsidRPr="00D63B08">
        <w:t xml:space="preserve"> to as the “wind tax credit.”</w:t>
      </w:r>
    </w:p>
    <w:p w14:paraId="72B1DD1B" w14:textId="65113637" w:rsidR="00007079" w:rsidRDefault="00697B6D" w:rsidP="00007079">
      <w:pPr>
        <w:pStyle w:val="Contention1"/>
      </w:pPr>
      <w:bookmarkStart w:id="21" w:name="_Toc26629927"/>
      <w:r>
        <w:t xml:space="preserve">SIGNIFICANCE </w:t>
      </w:r>
      <w:r w:rsidR="00A010F2">
        <w:t>/HARMS</w:t>
      </w:r>
      <w:bookmarkEnd w:id="21"/>
    </w:p>
    <w:p w14:paraId="6059C4F4" w14:textId="4670A9C4" w:rsidR="00A010F2" w:rsidRDefault="00A010F2" w:rsidP="00007079">
      <w:pPr>
        <w:pStyle w:val="Contention1"/>
      </w:pPr>
      <w:bookmarkStart w:id="22" w:name="_Toc26629928"/>
      <w:r>
        <w:t>1.  A/T “Cost to federal budget / fiscal responsibility”</w:t>
      </w:r>
      <w:bookmarkEnd w:id="22"/>
    </w:p>
    <w:p w14:paraId="6B2D931A" w14:textId="1E2E0EB4" w:rsidR="00A010F2" w:rsidRDefault="00A010F2" w:rsidP="00A010F2">
      <w:pPr>
        <w:pStyle w:val="Contention2"/>
      </w:pPr>
      <w:bookmarkStart w:id="23" w:name="_Toc26629929"/>
      <w:r>
        <w:t xml:space="preserve">Turn:  PTC has net fiscal benefit.  It generates more tax revenue than it </w:t>
      </w:r>
      <w:proofErr w:type="gramStart"/>
      <w:r>
        <w:t>costs:</w:t>
      </w:r>
      <w:proofErr w:type="gramEnd"/>
      <w:r>
        <w:t xml:space="preserve">  $768 million/year</w:t>
      </w:r>
      <w:bookmarkEnd w:id="23"/>
    </w:p>
    <w:p w14:paraId="301F07B0" w14:textId="4F83D5B3" w:rsidR="00A010F2" w:rsidRPr="00A010F2" w:rsidRDefault="00A010F2" w:rsidP="00A010F2">
      <w:pPr>
        <w:pStyle w:val="Citation3"/>
      </w:pPr>
      <w:bookmarkStart w:id="24" w:name="_Toc25918254"/>
      <w:bookmarkStart w:id="25" w:name="_Toc25741767"/>
      <w:bookmarkStart w:id="26" w:name="_Toc25739031"/>
      <w:bookmarkStart w:id="27" w:name="_Toc25680314"/>
      <w:bookmarkStart w:id="28" w:name="_Toc26627697"/>
      <w:r w:rsidRPr="00A010F2">
        <w:rPr>
          <w:rStyle w:val="Emphasis"/>
          <w:i/>
          <w:iCs w:val="0"/>
          <w:u w:val="single"/>
        </w:rPr>
        <w:t>Southern Alliance for Clean Energy 2015</w:t>
      </w:r>
      <w:r w:rsidRPr="00A010F2">
        <w:rPr>
          <w:rStyle w:val="Emphasis"/>
          <w:i/>
          <w:iCs w:val="0"/>
        </w:rPr>
        <w:t xml:space="preserve"> (over 30 years’ experience as a leading voice calling for smart energy policies in our region that help protect our quali</w:t>
      </w:r>
      <w:r>
        <w:rPr>
          <w:rStyle w:val="Emphasis"/>
          <w:i/>
          <w:iCs w:val="0"/>
        </w:rPr>
        <w:t>ty of life and treasured places</w:t>
      </w:r>
      <w:r w:rsidRPr="00A010F2">
        <w:rPr>
          <w:rStyle w:val="Emphasis"/>
          <w:i/>
          <w:iCs w:val="0"/>
        </w:rPr>
        <w:t>) 12 November 2015 “</w:t>
      </w:r>
      <w:r w:rsidRPr="00A010F2">
        <w:t xml:space="preserve">How Valuable is Wind Energy?” </w:t>
      </w:r>
      <w:hyperlink r:id="rId14" w:history="1">
        <w:r w:rsidRPr="00A010F2">
          <w:rPr>
            <w:rStyle w:val="Hyperlink"/>
            <w:color w:val="auto"/>
            <w:u w:val="none"/>
          </w:rPr>
          <w:t>https://cleanenergy.org/blog/windptcbenefits/</w:t>
        </w:r>
        <w:bookmarkEnd w:id="24"/>
        <w:bookmarkEnd w:id="25"/>
        <w:bookmarkEnd w:id="26"/>
        <w:bookmarkEnd w:id="27"/>
        <w:bookmarkEnd w:id="28"/>
      </w:hyperlink>
    </w:p>
    <w:p w14:paraId="3176AB4D" w14:textId="51A8D571" w:rsidR="00A010F2" w:rsidRDefault="00A010F2" w:rsidP="00A010F2">
      <w:pPr>
        <w:pStyle w:val="Evidence"/>
      </w:pPr>
      <w:r>
        <w:t xml:space="preserve">Analysis has previously shown that the wind energy PTC pays for itself by creating additional local, state and federal taxes. For each year the wind energy PTC </w:t>
      </w:r>
      <w:proofErr w:type="gramStart"/>
      <w:r>
        <w:t>is extended</w:t>
      </w:r>
      <w:proofErr w:type="gramEnd"/>
      <w:r>
        <w:t xml:space="preserve"> by Congress, the estimated net benefit is </w:t>
      </w:r>
      <w:hyperlink r:id="rId15" w:tgtFrame="_blank" w:history="1">
        <w:r>
          <w:rPr>
            <w:rStyle w:val="Hyperlink"/>
          </w:rPr>
          <w:t>$768 million</w:t>
        </w:r>
      </w:hyperlink>
      <w:r>
        <w:t xml:space="preserve">. Roughly, for every $1 invested from the PTC, $1.22 </w:t>
      </w:r>
      <w:proofErr w:type="gramStart"/>
      <w:r>
        <w:t>are earned</w:t>
      </w:r>
      <w:proofErr w:type="gramEnd"/>
      <w:r>
        <w:t xml:space="preserve"> back through local, state and federal taxes.</w:t>
      </w:r>
    </w:p>
    <w:p w14:paraId="551143AA" w14:textId="7388BDFD" w:rsidR="008E5F0D" w:rsidRDefault="008E5F0D" w:rsidP="00A010F2">
      <w:pPr>
        <w:pStyle w:val="Evidence"/>
      </w:pPr>
    </w:p>
    <w:p w14:paraId="19D4AF4C" w14:textId="015A0489" w:rsidR="008E5F0D" w:rsidRDefault="008E5F0D" w:rsidP="008E5F0D">
      <w:pPr>
        <w:pStyle w:val="Contention2"/>
      </w:pPr>
      <w:bookmarkStart w:id="29" w:name="_Toc25918444"/>
      <w:bookmarkStart w:id="30" w:name="_Toc26629930"/>
      <w:r>
        <w:lastRenderedPageBreak/>
        <w:t>Net benefits</w:t>
      </w:r>
      <w:bookmarkEnd w:id="29"/>
      <w:r>
        <w:t>:   $2 saved for every $1 in tax cost</w:t>
      </w:r>
      <w:bookmarkEnd w:id="30"/>
    </w:p>
    <w:p w14:paraId="0F55A644" w14:textId="77777777" w:rsidR="008E5F0D" w:rsidRDefault="008E5F0D" w:rsidP="008E5F0D">
      <w:pPr>
        <w:pStyle w:val="Citation3"/>
      </w:pPr>
      <w:bookmarkStart w:id="31" w:name="_Toc25918286"/>
      <w:bookmarkStart w:id="32" w:name="_Toc25741776"/>
      <w:bookmarkStart w:id="33" w:name="_Toc25739035"/>
      <w:bookmarkStart w:id="34" w:name="_Toc25680318"/>
      <w:bookmarkStart w:id="35" w:name="_Toc26627698"/>
      <w:r>
        <w:rPr>
          <w:u w:val="single"/>
        </w:rPr>
        <w:t>Joshua D. Rhodes 2019</w:t>
      </w:r>
      <w:r>
        <w:t xml:space="preserve"> (He is a research associate in the Energy Institute at The University of Texas at Austin.) 12 April 2019 “Tax Credits for Wind and Solar Work. Why are Texas Lawmakers Going </w:t>
      </w:r>
      <w:proofErr w:type="gramStart"/>
      <w:r>
        <w:t>After</w:t>
      </w:r>
      <w:proofErr w:type="gramEnd"/>
      <w:r>
        <w:t xml:space="preserve"> Them?” </w:t>
      </w:r>
      <w:hyperlink r:id="rId16" w:history="1">
        <w:r>
          <w:rPr>
            <w:rStyle w:val="Hyperlink"/>
          </w:rPr>
          <w:t>https://news.utexas.edu/2019/04/12/tax-credits-for-wind-and-solar-work-why-are-texas-lawmakers-going-after-them/</w:t>
        </w:r>
        <w:bookmarkEnd w:id="31"/>
        <w:bookmarkEnd w:id="32"/>
        <w:bookmarkEnd w:id="33"/>
        <w:bookmarkEnd w:id="34"/>
        <w:bookmarkEnd w:id="35"/>
      </w:hyperlink>
    </w:p>
    <w:p w14:paraId="63D84642" w14:textId="77777777" w:rsidR="008E5F0D" w:rsidRDefault="008E5F0D" w:rsidP="008E5F0D">
      <w:pPr>
        <w:pStyle w:val="Evidence"/>
      </w:pPr>
      <w:r>
        <w:t xml:space="preserve">On top of that, data indicate that the production tax credit has actually been a net benefit for Texas. In the ERCOT market, wind has reduced wholesale market costs about $1 billion a year. That means for about every $1 in taxes a Texan pays to fund the </w:t>
      </w:r>
      <w:proofErr w:type="gramStart"/>
      <w:r>
        <w:t>PTC,</w:t>
      </w:r>
      <w:proofErr w:type="gramEnd"/>
      <w:r>
        <w:t xml:space="preserve"> about $2 is saved in the wholesale electricity market.</w:t>
      </w:r>
    </w:p>
    <w:p w14:paraId="66F9ECBF" w14:textId="747B2E8B" w:rsidR="00A010F2" w:rsidRDefault="00B769F6" w:rsidP="00B769F6">
      <w:pPr>
        <w:pStyle w:val="Contention1"/>
      </w:pPr>
      <w:bookmarkStart w:id="36" w:name="_Toc26629931"/>
      <w:r>
        <w:t>2.  Other subsidies justify PTC</w:t>
      </w:r>
      <w:bookmarkEnd w:id="36"/>
    </w:p>
    <w:p w14:paraId="6011472C" w14:textId="1FC11F71" w:rsidR="00B769F6" w:rsidRDefault="00B769F6" w:rsidP="00B769F6">
      <w:pPr>
        <w:pStyle w:val="Contention2"/>
      </w:pPr>
      <w:bookmarkStart w:id="37" w:name="_Toc26629932"/>
      <w:r>
        <w:t>PTC subsidies for renewables are justified because fossil fuel energy is subsidized</w:t>
      </w:r>
      <w:bookmarkEnd w:id="37"/>
    </w:p>
    <w:p w14:paraId="6109340D" w14:textId="2B859E65" w:rsidR="00B769F6" w:rsidRPr="00B769F6" w:rsidRDefault="00B769F6" w:rsidP="00B769F6">
      <w:pPr>
        <w:pStyle w:val="Citation3"/>
      </w:pPr>
      <w:bookmarkStart w:id="38" w:name="_Toc25918281"/>
      <w:bookmarkStart w:id="39" w:name="_Toc25741772"/>
      <w:bookmarkStart w:id="40" w:name="_Toc25739032"/>
      <w:bookmarkStart w:id="41" w:name="_Toc25680315"/>
      <w:bookmarkStart w:id="42" w:name="_Toc26627699"/>
      <w:r w:rsidRPr="00B769F6">
        <w:rPr>
          <w:rStyle w:val="Emphasis"/>
          <w:i/>
          <w:iCs w:val="0"/>
          <w:u w:val="single"/>
        </w:rPr>
        <w:t>Southern Alliance for Clean Energy 2015</w:t>
      </w:r>
      <w:r w:rsidRPr="00B769F6">
        <w:rPr>
          <w:rStyle w:val="Emphasis"/>
          <w:i/>
          <w:iCs w:val="0"/>
        </w:rPr>
        <w:t xml:space="preserve"> (over 30 years’ experience as a leading voice calling for smart energy policies in our region that help protect our quali</w:t>
      </w:r>
      <w:r>
        <w:rPr>
          <w:rStyle w:val="Emphasis"/>
          <w:i/>
          <w:iCs w:val="0"/>
        </w:rPr>
        <w:t>ty of life and treasured places</w:t>
      </w:r>
      <w:r w:rsidRPr="00B769F6">
        <w:rPr>
          <w:rStyle w:val="Emphasis"/>
          <w:i/>
          <w:iCs w:val="0"/>
        </w:rPr>
        <w:t>.) 12 November 2015 “</w:t>
      </w:r>
      <w:r w:rsidRPr="00B769F6">
        <w:t xml:space="preserve">How Valuable is Wind Energy?” </w:t>
      </w:r>
      <w:hyperlink r:id="rId17" w:history="1">
        <w:r w:rsidRPr="00B769F6">
          <w:rPr>
            <w:rStyle w:val="Hyperlink"/>
            <w:color w:val="auto"/>
            <w:u w:val="none"/>
          </w:rPr>
          <w:t>https://cleanenergy.org/blog/windptcbenefits/</w:t>
        </w:r>
        <w:bookmarkEnd w:id="38"/>
        <w:bookmarkEnd w:id="39"/>
        <w:bookmarkEnd w:id="40"/>
        <w:bookmarkEnd w:id="41"/>
        <w:bookmarkEnd w:id="42"/>
      </w:hyperlink>
    </w:p>
    <w:p w14:paraId="391EC505" w14:textId="77777777" w:rsidR="00B769F6" w:rsidRPr="00B769F6" w:rsidRDefault="00B769F6" w:rsidP="00B769F6">
      <w:pPr>
        <w:pStyle w:val="Evidence"/>
      </w:pPr>
      <w:r w:rsidRPr="00B769F6">
        <w:t>Keep in mind that wind energy is not the only energy resource that receives government incentives. </w:t>
      </w:r>
      <w:hyperlink r:id="rId18" w:tgtFrame="_blank" w:history="1">
        <w:r w:rsidRPr="00B769F6">
          <w:rPr>
            <w:rStyle w:val="Hyperlink"/>
            <w:color w:val="000000"/>
            <w:u w:val="none"/>
          </w:rPr>
          <w:t>Analysis from Conservatives for Responsible Stewardship</w:t>
        </w:r>
      </w:hyperlink>
      <w:r w:rsidRPr="00B769F6">
        <w:t> show that specialized tax structures that have been granted to the fossil fuel industries by the federal government, but that are unavailable to wind power, result in an “implicit” fossil fuel subsidy of roughly 1.9 cents per kilowatt hour. At a minimum, the wind energy PTC is a necessity to correct the unfair market conditions created by specialized government subsidies for fossil fuels.</w:t>
      </w:r>
    </w:p>
    <w:p w14:paraId="19601C6E" w14:textId="3A5C0205" w:rsidR="00B769F6" w:rsidRDefault="00B769F6" w:rsidP="00B769F6">
      <w:pPr>
        <w:pStyle w:val="Contention2"/>
      </w:pPr>
      <w:bookmarkStart w:id="43" w:name="_Toc25918443"/>
      <w:bookmarkStart w:id="44" w:name="_Toc26629933"/>
      <w:r>
        <w:t xml:space="preserve">A/T “Wind industry says OK to abolish PTC” – </w:t>
      </w:r>
      <w:bookmarkEnd w:id="43"/>
      <w:r>
        <w:t>Yes IF fossil fuel subsidies are abolished too</w:t>
      </w:r>
      <w:bookmarkEnd w:id="44"/>
      <w:r>
        <w:t xml:space="preserve"> </w:t>
      </w:r>
    </w:p>
    <w:p w14:paraId="172F5E49" w14:textId="398349F8" w:rsidR="00B769F6" w:rsidRDefault="00B769F6" w:rsidP="00B769F6">
      <w:pPr>
        <w:pStyle w:val="Citation3"/>
      </w:pPr>
      <w:bookmarkStart w:id="45" w:name="_Toc25918285"/>
      <w:bookmarkStart w:id="46" w:name="_Toc25741774"/>
      <w:bookmarkStart w:id="47" w:name="_Toc25738516"/>
      <w:bookmarkStart w:id="48" w:name="_Toc26627700"/>
      <w:r>
        <w:rPr>
          <w:u w:val="single"/>
        </w:rPr>
        <w:t xml:space="preserve">Karl-Erik </w:t>
      </w:r>
      <w:proofErr w:type="spellStart"/>
      <w:r>
        <w:rPr>
          <w:u w:val="single"/>
        </w:rPr>
        <w:t>Stromstra</w:t>
      </w:r>
      <w:proofErr w:type="spellEnd"/>
      <w:r>
        <w:rPr>
          <w:u w:val="single"/>
        </w:rPr>
        <w:t xml:space="preserve"> 2019</w:t>
      </w:r>
      <w:r>
        <w:t xml:space="preserve"> (journalist;  spent 10 years covering the global renewable energy market at Recharge, first as a London-based Europe correspondent and then as managing editor for North America. BA in Human Biology from Michigan State University and an MA in Journalism from </w:t>
      </w:r>
      <w:proofErr w:type="spellStart"/>
      <w:r>
        <w:t>Univ</w:t>
      </w:r>
      <w:proofErr w:type="spellEnd"/>
      <w:r>
        <w:t xml:space="preserve"> of Southern Calif.) 14 June 2019 “Another Wind PTC Extension? No Thanks, Many in Industry Say” </w:t>
      </w:r>
      <w:hyperlink r:id="rId19" w:history="1">
        <w:r>
          <w:rPr>
            <w:rStyle w:val="Hyperlink"/>
          </w:rPr>
          <w:t>https://www.greentechmedia.com/articles/read/another-wind-ptc-extension-no-thanks-say-many-in-industry</w:t>
        </w:r>
        <w:bookmarkEnd w:id="45"/>
        <w:bookmarkEnd w:id="46"/>
        <w:bookmarkEnd w:id="47"/>
        <w:bookmarkEnd w:id="48"/>
      </w:hyperlink>
    </w:p>
    <w:p w14:paraId="0F40E473" w14:textId="26C42258" w:rsidR="00B769F6" w:rsidRDefault="00B769F6" w:rsidP="00B769F6">
      <w:pPr>
        <w:pStyle w:val="Evidence"/>
      </w:pPr>
      <w:r>
        <w:rPr>
          <w:u w:val="single"/>
        </w:rPr>
        <w:t xml:space="preserve">At the end of the day, the wind industry’s attitude towards its own subsidy may boil down to what other energy technologies are receiving. Part of the industry’s thinking in volunteering to give up the PTC in 2015 was that other energy technologies would give up their own subsidies, said Chris Brown, president of sales and services in the U.S. and Canada at wind turbine supplier </w:t>
      </w:r>
      <w:proofErr w:type="spellStart"/>
      <w:r>
        <w:rPr>
          <w:u w:val="single"/>
        </w:rPr>
        <w:t>Vestas</w:t>
      </w:r>
      <w:proofErr w:type="spellEnd"/>
      <w:r>
        <w:rPr>
          <w:u w:val="single"/>
        </w:rPr>
        <w:t xml:space="preserve">. “If we’re talking about extending the PTC, I’m fine with that given the oil and gas majors still have their depletion allowances and all their tax incentives,” Brown said in an interview.  </w:t>
      </w:r>
      <w:r>
        <w:t>“Can we compete without it? Yeah,” he said. “In the rest of the world we’re not provided with that incentive.” “But the right narrative is, ‘Let’s talk about a level playing field,’” Brown said. “Everyone wants to be treated equally. That’s the narrative I’d prefer, rather than yes or no on the PTC.”</w:t>
      </w:r>
    </w:p>
    <w:p w14:paraId="20E1D277" w14:textId="77777777" w:rsidR="00CC6A64" w:rsidRDefault="00CC6A64">
      <w:pPr>
        <w:spacing w:after="0" w:line="240" w:lineRule="auto"/>
        <w:rPr>
          <w:rFonts w:eastAsia="Times New Roman"/>
          <w:b/>
          <w:bCs/>
          <w:color w:val="000000"/>
          <w:sz w:val="20"/>
          <w:szCs w:val="20"/>
          <w:lang w:eastAsia="fr-FR"/>
        </w:rPr>
      </w:pPr>
      <w:r>
        <w:br w:type="page"/>
      </w:r>
    </w:p>
    <w:p w14:paraId="4D66416A" w14:textId="4E90B7A3" w:rsidR="00CC6A64" w:rsidRDefault="00CC6A64" w:rsidP="00CC6A64">
      <w:pPr>
        <w:pStyle w:val="Contention1"/>
      </w:pPr>
      <w:bookmarkStart w:id="49" w:name="_Toc26629934"/>
      <w:r>
        <w:lastRenderedPageBreak/>
        <w:t>3.  Insignificant budget cost</w:t>
      </w:r>
      <w:bookmarkEnd w:id="49"/>
    </w:p>
    <w:p w14:paraId="72DC8FA9" w14:textId="42571924" w:rsidR="00CC6A64" w:rsidRDefault="00CC6A64" w:rsidP="00CC6A64">
      <w:pPr>
        <w:pStyle w:val="Contention2"/>
      </w:pPr>
      <w:bookmarkStart w:id="50" w:name="_Toc26629935"/>
      <w:r>
        <w:t xml:space="preserve">PTC cost $7 billion over 7 years (about $1 billion/year)  </w:t>
      </w:r>
      <w:r>
        <w:sym w:font="Wingdings" w:char="F0E0"/>
      </w:r>
      <w:r>
        <w:t xml:space="preserve"> </w:t>
      </w:r>
      <w:proofErr w:type="gramStart"/>
      <w:r>
        <w:t>And</w:t>
      </w:r>
      <w:proofErr w:type="gramEnd"/>
      <w:r>
        <w:t xml:space="preserve"> that was </w:t>
      </w:r>
      <w:r w:rsidRPr="00CC6A64">
        <w:rPr>
          <w:u w:val="single"/>
        </w:rPr>
        <w:t>before it was being phased out</w:t>
      </w:r>
      <w:bookmarkEnd w:id="50"/>
    </w:p>
    <w:p w14:paraId="35655548" w14:textId="4A0ECC09" w:rsidR="00CC6A64" w:rsidRPr="00CC6A64" w:rsidRDefault="00CC6A64" w:rsidP="00CC6A64">
      <w:pPr>
        <w:pStyle w:val="Citation3"/>
      </w:pPr>
      <w:r w:rsidRPr="00CC6A64">
        <w:rPr>
          <w:u w:val="single"/>
        </w:rPr>
        <w:t>Justin Sykes 2015</w:t>
      </w:r>
      <w:r w:rsidRPr="00CC6A64">
        <w:t xml:space="preserve"> (Manager of Federal Affairs at Americans for Tax Reform, a non-profit group advocating lower government spending and lower taxes) “ATR Urges Lawmakers to Oppose the Solar ITC and Wind PTC” </w:t>
      </w:r>
      <w:hyperlink r:id="rId20" w:history="1">
        <w:r w:rsidRPr="00CC6A64">
          <w:rPr>
            <w:rStyle w:val="Hyperlink"/>
            <w:color w:val="auto"/>
            <w:u w:val="none"/>
          </w:rPr>
          <w:t>https://www.atr.org/atr-urges-lawmakers-oppose-solar-itc-and-wind-ptc</w:t>
        </w:r>
      </w:hyperlink>
    </w:p>
    <w:p w14:paraId="0B203811" w14:textId="134993E7" w:rsidR="00CC6A64" w:rsidRDefault="00CC6A64" w:rsidP="00CC6A64">
      <w:pPr>
        <w:pStyle w:val="Evidence"/>
      </w:pPr>
      <w:r w:rsidRPr="00CC6A64">
        <w:t>According to a recent </w:t>
      </w:r>
      <w:hyperlink r:id="rId21" w:tgtFrame="_blank" w:history="1">
        <w:r w:rsidRPr="00CC6A64">
          <w:rPr>
            <w:rStyle w:val="Hyperlink"/>
            <w:color w:val="000000"/>
            <w:u w:val="none"/>
          </w:rPr>
          <w:t xml:space="preserve">report by Citizens </w:t>
        </w:r>
        <w:proofErr w:type="gramStart"/>
        <w:r w:rsidRPr="00CC6A64">
          <w:rPr>
            <w:rStyle w:val="Hyperlink"/>
            <w:color w:val="000000"/>
            <w:u w:val="none"/>
          </w:rPr>
          <w:t>Against Government Waste</w:t>
        </w:r>
      </w:hyperlink>
      <w:proofErr w:type="gramEnd"/>
      <w:r w:rsidRPr="00CC6A64">
        <w:t xml:space="preserve"> (CAGW), from 2004-2015 tax expenditures for the ITC and PTC have cost $11.5 billion. Since 2008 </w:t>
      </w:r>
      <w:proofErr w:type="gramStart"/>
      <w:r w:rsidRPr="00CC6A64">
        <w:t>alone</w:t>
      </w:r>
      <w:proofErr w:type="gramEnd"/>
      <w:r w:rsidRPr="00CC6A64">
        <w:t xml:space="preserve"> the PTC has cost taxpayers over $7 billion. </w:t>
      </w:r>
    </w:p>
    <w:p w14:paraId="08BBAFC8" w14:textId="1F49EBE0" w:rsidR="00CC6A64" w:rsidRDefault="00CC6A64" w:rsidP="00CC6A64">
      <w:pPr>
        <w:pStyle w:val="Contention2"/>
      </w:pPr>
      <w:bookmarkStart w:id="51" w:name="_Toc26629936"/>
      <w:r>
        <w:t>Total federal budget is $4.7 trillion</w:t>
      </w:r>
      <w:bookmarkEnd w:id="51"/>
    </w:p>
    <w:p w14:paraId="71EABA07" w14:textId="7623C03A" w:rsidR="00CC6A64" w:rsidRPr="00CC6A64" w:rsidRDefault="00CC6A64" w:rsidP="00CC6A64">
      <w:pPr>
        <w:pStyle w:val="Citation3"/>
      </w:pPr>
      <w:r w:rsidRPr="00CC6A64">
        <w:rPr>
          <w:u w:val="single"/>
        </w:rPr>
        <w:t xml:space="preserve">Kimberly </w:t>
      </w:r>
      <w:proofErr w:type="spellStart"/>
      <w:r w:rsidRPr="00CC6A64">
        <w:rPr>
          <w:u w:val="single"/>
        </w:rPr>
        <w:t>Amadeo</w:t>
      </w:r>
      <w:proofErr w:type="spellEnd"/>
      <w:r w:rsidRPr="00CC6A64">
        <w:rPr>
          <w:u w:val="single"/>
        </w:rPr>
        <w:t xml:space="preserve"> 2019</w:t>
      </w:r>
      <w:r w:rsidRPr="00CC6A64">
        <w:t xml:space="preserve"> (20 years senior-level corporate experience in economic analysis and business strategy. She received an M.S. in Management from the Sloan School of Business) updated 30 Nov 2019 “</w:t>
      </w:r>
      <w:r w:rsidRPr="00CC6A64">
        <w:rPr>
          <w:rStyle w:val="comp"/>
        </w:rPr>
        <w:t xml:space="preserve">US Federal Budget Breakdown” </w:t>
      </w:r>
      <w:hyperlink r:id="rId22" w:history="1">
        <w:r w:rsidRPr="00CC6A64">
          <w:rPr>
            <w:rStyle w:val="Hyperlink"/>
            <w:color w:val="auto"/>
            <w:u w:val="none"/>
          </w:rPr>
          <w:t>https://www.thebalance.com/u-s-federal-budget-breakdown-3305789</w:t>
        </w:r>
      </w:hyperlink>
    </w:p>
    <w:p w14:paraId="0D11CAA2" w14:textId="6D693C12" w:rsidR="00CC6A64" w:rsidRDefault="00CC6A64" w:rsidP="00CC6A64">
      <w:pPr>
        <w:pStyle w:val="Evidence"/>
      </w:pPr>
      <w:r w:rsidRPr="00CC6A64">
        <w:t>On March 11, 2019, </w:t>
      </w:r>
      <w:hyperlink r:id="rId23" w:history="1">
        <w:r w:rsidRPr="00CC6A64">
          <w:rPr>
            <w:rStyle w:val="Hyperlink"/>
            <w:color w:val="000000"/>
            <w:u w:val="none"/>
          </w:rPr>
          <w:t>President Donald Trump</w:t>
        </w:r>
      </w:hyperlink>
      <w:r w:rsidRPr="00CC6A64">
        <w:t> released his budget request for </w:t>
      </w:r>
      <w:hyperlink r:id="rId24" w:history="1">
        <w:r w:rsidRPr="00CC6A64">
          <w:rPr>
            <w:rStyle w:val="Hyperlink"/>
            <w:color w:val="000000"/>
            <w:u w:val="none"/>
          </w:rPr>
          <w:t>fiscal year</w:t>
        </w:r>
      </w:hyperlink>
      <w:r w:rsidRPr="00CC6A64">
        <w:t> 2020. Under his proposal, the </w:t>
      </w:r>
      <w:hyperlink r:id="rId25" w:history="1">
        <w:r w:rsidRPr="00CC6A64">
          <w:rPr>
            <w:rStyle w:val="Hyperlink"/>
            <w:color w:val="000000"/>
            <w:u w:val="none"/>
          </w:rPr>
          <w:t>federal budget</w:t>
        </w:r>
      </w:hyperlink>
      <w:r w:rsidRPr="00CC6A64">
        <w:t> would be a record $4.746 trillion. The U.S. government estimates it will receive $3.645 trillion in revenue.</w:t>
      </w:r>
    </w:p>
    <w:p w14:paraId="79326749" w14:textId="63B02A78" w:rsidR="00CC6A64" w:rsidRDefault="00CC6A64" w:rsidP="00CC6A64">
      <w:pPr>
        <w:pStyle w:val="Contention2"/>
      </w:pPr>
      <w:bookmarkStart w:id="52" w:name="_Toc26629937"/>
      <w:r>
        <w:t>Do the math:  $1 billion/year PTC divided by $4.7 trillion/year budget</w:t>
      </w:r>
      <w:r w:rsidR="00CE1E60">
        <w:t xml:space="preserve"> = 0.02%</w:t>
      </w:r>
      <w:bookmarkEnd w:id="52"/>
    </w:p>
    <w:p w14:paraId="6783CE16" w14:textId="3E064344" w:rsidR="00CC6A64" w:rsidRPr="00CC6A64" w:rsidRDefault="00CE1E60" w:rsidP="00CC6A64">
      <w:pPr>
        <w:pStyle w:val="Evidence"/>
      </w:pPr>
      <w:r>
        <w:t xml:space="preserve">$1 billion / $4.7 trillion = 0.02%   </w:t>
      </w:r>
      <w:proofErr w:type="gramStart"/>
      <w:r>
        <w:t>In</w:t>
      </w:r>
      <w:proofErr w:type="gramEnd"/>
      <w:r>
        <w:t xml:space="preserve"> what sense is 0.02% significant enough to spend an hour and a half debating?</w:t>
      </w:r>
    </w:p>
    <w:p w14:paraId="1134A02D" w14:textId="2A75F296" w:rsidR="00B84773" w:rsidRDefault="00C7428A" w:rsidP="00C7428A">
      <w:pPr>
        <w:pStyle w:val="Contention1"/>
      </w:pPr>
      <w:bookmarkStart w:id="53" w:name="_Toc26629938"/>
      <w:r>
        <w:t>DISADVANTAGES</w:t>
      </w:r>
      <w:bookmarkEnd w:id="53"/>
      <w:r>
        <w:t xml:space="preserve"> </w:t>
      </w:r>
    </w:p>
    <w:p w14:paraId="21FD6DD3" w14:textId="37B63EF0" w:rsidR="009920BE" w:rsidRDefault="0015137D" w:rsidP="008E0676">
      <w:pPr>
        <w:pStyle w:val="Contention1"/>
      </w:pPr>
      <w:bookmarkStart w:id="54" w:name="_Toc26629939"/>
      <w:r>
        <w:t>1.  Job losses</w:t>
      </w:r>
      <w:bookmarkEnd w:id="54"/>
    </w:p>
    <w:p w14:paraId="308E588F" w14:textId="6D93BDC6" w:rsidR="0015137D" w:rsidRDefault="0015137D" w:rsidP="0015137D">
      <w:pPr>
        <w:pStyle w:val="Contention2"/>
      </w:pPr>
      <w:bookmarkStart w:id="55" w:name="_Toc26629940"/>
      <w:r>
        <w:t xml:space="preserve">When PTC </w:t>
      </w:r>
      <w:r w:rsidR="008E0676">
        <w:t>goes away,</w:t>
      </w:r>
      <w:r>
        <w:t xml:space="preserve"> we get fewer wind energy installations and more job losses</w:t>
      </w:r>
      <w:bookmarkEnd w:id="55"/>
    </w:p>
    <w:p w14:paraId="5FE844F5" w14:textId="493575B0" w:rsidR="0015137D" w:rsidRDefault="0015137D" w:rsidP="0015137D">
      <w:pPr>
        <w:pStyle w:val="Citation3"/>
      </w:pPr>
      <w:bookmarkStart w:id="56" w:name="_Toc25918249"/>
      <w:bookmarkStart w:id="57" w:name="_Toc25741770"/>
      <w:bookmarkStart w:id="58" w:name="_Toc26622997"/>
      <w:bookmarkStart w:id="59" w:name="_Toc26627701"/>
      <w:r>
        <w:rPr>
          <w:u w:val="single"/>
        </w:rPr>
        <w:t>Union of Concerned Scientists 2015</w:t>
      </w:r>
      <w:r>
        <w:t xml:space="preserve"> (founded in 1969 by scientists and students at the Massach</w:t>
      </w:r>
      <w:r w:rsidR="008E0676">
        <w:t>usetts Institute of Technology, advocating</w:t>
      </w:r>
      <w:r>
        <w:t xml:space="preserve"> for scientific research to be directed away from military technologies and toward solving pressing environmental and social problems.) Updated 9 Feb 2015 “</w:t>
      </w:r>
      <w:r w:rsidRPr="0015137D">
        <w:rPr>
          <w:rStyle w:val="field"/>
          <w:highlight w:val="yellow"/>
        </w:rPr>
        <w:t>Production Tax Credit for Renewable Energy</w:t>
      </w:r>
      <w:r>
        <w:rPr>
          <w:rStyle w:val="field"/>
        </w:rPr>
        <w:t xml:space="preserve">” </w:t>
      </w:r>
      <w:hyperlink r:id="rId26" w:history="1">
        <w:r>
          <w:rPr>
            <w:rStyle w:val="Hyperlink"/>
          </w:rPr>
          <w:t>https://www.ucsusa.org/resources/production-tax-credit-renewable-energy</w:t>
        </w:r>
        <w:bookmarkEnd w:id="56"/>
        <w:bookmarkEnd w:id="57"/>
        <w:bookmarkEnd w:id="58"/>
        <w:bookmarkEnd w:id="59"/>
      </w:hyperlink>
    </w:p>
    <w:p w14:paraId="6CAA5121" w14:textId="73C5FA1F" w:rsidR="0015137D" w:rsidRDefault="0015137D" w:rsidP="0015137D">
      <w:pPr>
        <w:pStyle w:val="Evidence"/>
      </w:pPr>
      <w:r w:rsidRPr="0015137D">
        <w:rPr>
          <w:u w:val="single"/>
        </w:rPr>
        <w:t>Originally enacted as part of the Energy Policy Act of 1992, Congress has extended the provision six times and has allowed it to expire on six occasions. This "on-again/off-again" status has resulted in a boom-bust cycle of development. In the years following expiration, installations dropped between 76 and 93 percent, with corresponding job losses</w:t>
      </w:r>
      <w:r>
        <w:t xml:space="preserve"> (see Figure below).</w:t>
      </w:r>
    </w:p>
    <w:p w14:paraId="34014C4B" w14:textId="7982210F" w:rsidR="00084B45" w:rsidRPr="00084B45" w:rsidRDefault="00084B45" w:rsidP="00084B45">
      <w:pPr>
        <w:pStyle w:val="Contention2"/>
        <w:rPr>
          <w:rStyle w:val="Emphasis"/>
          <w:rFonts w:eastAsia="Arial"/>
          <w:i w:val="0"/>
          <w:iCs w:val="0"/>
        </w:rPr>
      </w:pPr>
      <w:bookmarkStart w:id="60" w:name="_Toc25918421"/>
      <w:bookmarkStart w:id="61" w:name="_Toc26629941"/>
      <w:r>
        <w:rPr>
          <w:rStyle w:val="Emphasis"/>
          <w:rFonts w:eastAsia="Arial"/>
          <w:i w:val="0"/>
          <w:iCs w:val="0"/>
        </w:rPr>
        <w:t xml:space="preserve">PTC has not outlived its usefulness:  Other forms of energy </w:t>
      </w:r>
      <w:proofErr w:type="gramStart"/>
      <w:r>
        <w:rPr>
          <w:rStyle w:val="Emphasis"/>
          <w:rFonts w:eastAsia="Arial"/>
          <w:i w:val="0"/>
          <w:iCs w:val="0"/>
        </w:rPr>
        <w:t>are subsidized</w:t>
      </w:r>
      <w:proofErr w:type="gramEnd"/>
      <w:r>
        <w:rPr>
          <w:rStyle w:val="Emphasis"/>
          <w:rFonts w:eastAsia="Arial"/>
          <w:i w:val="0"/>
          <w:iCs w:val="0"/>
        </w:rPr>
        <w:t>, so wind has trouble competing w</w:t>
      </w:r>
      <w:r w:rsidRPr="00084B45">
        <w:rPr>
          <w:rStyle w:val="Emphasis"/>
          <w:rFonts w:eastAsia="Arial"/>
          <w:i w:val="0"/>
          <w:iCs w:val="0"/>
        </w:rPr>
        <w:t>ithout the PTC</w:t>
      </w:r>
      <w:bookmarkEnd w:id="60"/>
      <w:bookmarkEnd w:id="61"/>
      <w:r w:rsidRPr="00084B45">
        <w:rPr>
          <w:rStyle w:val="Emphasis"/>
          <w:rFonts w:eastAsia="Arial"/>
          <w:i w:val="0"/>
          <w:iCs w:val="0"/>
        </w:rPr>
        <w:t xml:space="preserve"> </w:t>
      </w:r>
    </w:p>
    <w:p w14:paraId="30D8B75B" w14:textId="37E85C4B" w:rsidR="00084B45" w:rsidRPr="00084B45" w:rsidRDefault="00084B45" w:rsidP="00084B45">
      <w:pPr>
        <w:pStyle w:val="Citation3"/>
      </w:pPr>
      <w:bookmarkStart w:id="62" w:name="_Toc25918265"/>
      <w:bookmarkStart w:id="63" w:name="_Toc26627702"/>
      <w:r w:rsidRPr="00084B45">
        <w:rPr>
          <w:rStyle w:val="Emphasis"/>
          <w:i/>
          <w:iCs w:val="0"/>
          <w:u w:val="single"/>
        </w:rPr>
        <w:t>Benjamin Silliman 2019</w:t>
      </w:r>
      <w:r w:rsidRPr="00084B45">
        <w:rPr>
          <w:rStyle w:val="Emphasis"/>
          <w:i/>
          <w:iCs w:val="0"/>
        </w:rPr>
        <w:t xml:space="preserve"> (research associate for energy and U.S. foreign policy at the Council on Foreign Relations.</w:t>
      </w:r>
      <w:r w:rsidRPr="00084B45">
        <w:t xml:space="preserve">) 15 July 2019 “A New Dawn for Wind Energy Infrastructure </w:t>
      </w:r>
      <w:proofErr w:type="gramStart"/>
      <w:r w:rsidRPr="00084B45">
        <w:t>After</w:t>
      </w:r>
      <w:proofErr w:type="gramEnd"/>
      <w:r w:rsidRPr="00084B45">
        <w:t xml:space="preserve"> the Production Tax Credit Sunset” </w:t>
      </w:r>
      <w:hyperlink r:id="rId27" w:history="1">
        <w:r w:rsidRPr="00084B45">
          <w:rPr>
            <w:rStyle w:val="Hyperlink"/>
            <w:color w:val="auto"/>
            <w:u w:val="none"/>
          </w:rPr>
          <w:t>https://www.cfr.org/blog/new-dawn-wind-energy-infrastructure-after-production-tax-credit-sunset</w:t>
        </w:r>
        <w:bookmarkEnd w:id="62"/>
        <w:bookmarkEnd w:id="63"/>
      </w:hyperlink>
    </w:p>
    <w:p w14:paraId="04FEFD4C" w14:textId="77777777" w:rsidR="00084B45" w:rsidRDefault="00084B45" w:rsidP="00084B45">
      <w:pPr>
        <w:pStyle w:val="Evidence"/>
      </w:pPr>
      <w:r>
        <w:t>This resilience in the face of the tax equity cliff does not necessarily mean that the PTC has outlived its usefulness. The financiers of the wind industry will need to evaluate whether the amount of money and effort it takes to originate, develop, finance, construct, and operate a wind farm will still be an attractive use of capital. Wind energy will be uniquely disadvantaged in that evaluation, as it will be competing unsubsidized against other energy resources currently receiving government financial support. This evaluation could be even less favorable in more competitive and established energy markets like the Pennsylvania New Jersey Maryland Interconnection (PJM), where cheap existing sources of natural gas electricity and obtuse rules surrounding their </w:t>
      </w:r>
      <w:hyperlink r:id="rId28" w:tgtFrame="_blank" w:tooltip="Reliability Pricing Model" w:history="1">
        <w:r>
          <w:rPr>
            <w:rStyle w:val="Hyperlink"/>
          </w:rPr>
          <w:t>Reliability Pricing Model</w:t>
        </w:r>
      </w:hyperlink>
      <w:r>
        <w:t>, which requires suppliers to guarantee production into the future, can make it difficult for new wind plants to make an entry.</w:t>
      </w:r>
    </w:p>
    <w:p w14:paraId="238DE314" w14:textId="7D265029" w:rsidR="0015137D" w:rsidRPr="008E0676" w:rsidRDefault="008E0676" w:rsidP="008E0676">
      <w:pPr>
        <w:pStyle w:val="Contention1"/>
      </w:pPr>
      <w:bookmarkStart w:id="64" w:name="_Toc26629942"/>
      <w:r w:rsidRPr="008E0676">
        <w:lastRenderedPageBreak/>
        <w:t>2.  Pollution</w:t>
      </w:r>
      <w:bookmarkEnd w:id="64"/>
    </w:p>
    <w:p w14:paraId="45056561" w14:textId="50A88D2A" w:rsidR="009E317F" w:rsidRDefault="009E317F" w:rsidP="009E317F">
      <w:pPr>
        <w:pStyle w:val="Contention2"/>
      </w:pPr>
      <w:bookmarkStart w:id="65" w:name="_Toc25918430"/>
      <w:bookmarkStart w:id="66" w:name="_Toc26629943"/>
      <w:bookmarkStart w:id="67" w:name="_Toc25918402"/>
      <w:r>
        <w:t>Tax credits reduce emissions</w:t>
      </w:r>
      <w:bookmarkEnd w:id="65"/>
      <w:r>
        <w:t xml:space="preserve">.  If they </w:t>
      </w:r>
      <w:proofErr w:type="gramStart"/>
      <w:r>
        <w:t>were extended</w:t>
      </w:r>
      <w:proofErr w:type="gramEnd"/>
      <w:r>
        <w:t>, they would cut electric power sector emissions by 42%</w:t>
      </w:r>
      <w:bookmarkEnd w:id="66"/>
    </w:p>
    <w:p w14:paraId="7B0F0863" w14:textId="60C37BD2" w:rsidR="009E317F" w:rsidRDefault="009E317F" w:rsidP="009E317F">
      <w:pPr>
        <w:pStyle w:val="Citation3"/>
      </w:pPr>
      <w:bookmarkStart w:id="68" w:name="_Toc25918273"/>
      <w:bookmarkStart w:id="69" w:name="_Toc26627703"/>
      <w:r>
        <w:rPr>
          <w:u w:val="single"/>
        </w:rPr>
        <w:t xml:space="preserve">John Larsen, Whitney Herndon, Hannah </w:t>
      </w:r>
      <w:proofErr w:type="spellStart"/>
      <w:r>
        <w:rPr>
          <w:u w:val="single"/>
        </w:rPr>
        <w:t>Kolus</w:t>
      </w:r>
      <w:proofErr w:type="spellEnd"/>
      <w:r>
        <w:rPr>
          <w:u w:val="single"/>
        </w:rPr>
        <w:t xml:space="preserve">, and Galen </w:t>
      </w:r>
      <w:proofErr w:type="spellStart"/>
      <w:r>
        <w:rPr>
          <w:u w:val="single"/>
        </w:rPr>
        <w:t>Hiltbrand</w:t>
      </w:r>
      <w:proofErr w:type="spellEnd"/>
      <w:r>
        <w:rPr>
          <w:u w:val="single"/>
        </w:rPr>
        <w:t xml:space="preserve"> 2019</w:t>
      </w:r>
      <w:r>
        <w:t xml:space="preserve"> (John Larsen is a Director at Rhodium Group and leads the firm’s </w:t>
      </w:r>
      <w:proofErr w:type="gramStart"/>
      <w:r>
        <w:t>US</w:t>
      </w:r>
      <w:proofErr w:type="gramEnd"/>
      <w:r>
        <w:t xml:space="preserve"> power sector and energy systems research. </w:t>
      </w:r>
      <w:proofErr w:type="gramStart"/>
      <w:r>
        <w:t>Formerly  worked</w:t>
      </w:r>
      <w:proofErr w:type="gramEnd"/>
      <w:r>
        <w:t xml:space="preserve"> for the US Department of Energy’s Office of Energy Policy and Systems Analysis. Whitney Herndon is a Senior Analyst at Rhodium Group focused on US energy markets and policy. Hannah </w:t>
      </w:r>
      <w:proofErr w:type="spellStart"/>
      <w:r>
        <w:t>Kolus</w:t>
      </w:r>
      <w:proofErr w:type="spellEnd"/>
      <w:r>
        <w:t xml:space="preserve"> is a Research Analyst with Rhodium Group's Energy &amp; Climate team, focusing on US energy markets and policy. Galen </w:t>
      </w:r>
      <w:proofErr w:type="spellStart"/>
      <w:r>
        <w:t>Hiltbrand</w:t>
      </w:r>
      <w:proofErr w:type="spellEnd"/>
      <w:r>
        <w:t xml:space="preserve"> is a Research Analyst with Rhodium Group’s Energy &amp; Climate team. Formerly taught at Duke University’s Nicholas School of the Environment.) 26 Sept 2019 “Can Tax Credits Tackle Climate?” </w:t>
      </w:r>
      <w:hyperlink r:id="rId29" w:history="1">
        <w:r>
          <w:rPr>
            <w:rStyle w:val="Hyperlink"/>
          </w:rPr>
          <w:t>https://rhg.com/research/can-tax-credits-tackle-climate/</w:t>
        </w:r>
        <w:bookmarkEnd w:id="68"/>
        <w:bookmarkEnd w:id="69"/>
      </w:hyperlink>
    </w:p>
    <w:p w14:paraId="0AC1A91E" w14:textId="77777777" w:rsidR="009E317F" w:rsidRDefault="009E317F" w:rsidP="009E317F">
      <w:pPr>
        <w:pStyle w:val="Evidence"/>
      </w:pPr>
      <w:r w:rsidRPr="009E317F">
        <w:rPr>
          <w:u w:val="single"/>
        </w:rPr>
        <w:t>Extending renewable energy credits can also achieve meaningful progress towards reducing emissions. As more renewables come online, they displace incumbent generators, primarily natural gas-fired units. With more zero-emitting resources and less natural gas compared to current policy, electric power sector CO</w:t>
      </w:r>
      <w:r w:rsidRPr="009E317F">
        <w:rPr>
          <w:u w:val="single"/>
          <w:vertAlign w:val="subscript"/>
        </w:rPr>
        <w:t>2 </w:t>
      </w:r>
      <w:r w:rsidRPr="009E317F">
        <w:rPr>
          <w:u w:val="single"/>
        </w:rPr>
        <w:t>emissions fall 13 to 32 million metric tons below current policy in 2025</w:t>
      </w:r>
      <w:r>
        <w:t xml:space="preserve"> (Figure 3</w:t>
      </w:r>
      <w:r w:rsidRPr="009E317F">
        <w:rPr>
          <w:u w:val="single"/>
        </w:rPr>
        <w:t>). Emissions reductions grow over time, reaching 23 to 187 million metric tons below current policy in 2030. The tax extension could push electric power sector emissions down 42% to 48% below 2005 levels in 2030</w:t>
      </w:r>
      <w:r>
        <w:t>.</w:t>
      </w:r>
    </w:p>
    <w:p w14:paraId="52C61860" w14:textId="5C8EEEE1" w:rsidR="008E0676" w:rsidRDefault="008E0676" w:rsidP="008E0676">
      <w:pPr>
        <w:pStyle w:val="Contention2"/>
      </w:pPr>
      <w:bookmarkStart w:id="70" w:name="_Toc26629944"/>
      <w:r>
        <w:t>Link:  Less wind energy without PTC.  DOE study finds “PTC has been critical”</w:t>
      </w:r>
      <w:bookmarkEnd w:id="67"/>
      <w:r>
        <w:t xml:space="preserve"> to wind development</w:t>
      </w:r>
      <w:bookmarkEnd w:id="70"/>
    </w:p>
    <w:p w14:paraId="14A1F6F7" w14:textId="790F03C9" w:rsidR="008E0676" w:rsidRDefault="008E0676" w:rsidP="008E0676">
      <w:pPr>
        <w:pStyle w:val="Citation3"/>
      </w:pPr>
      <w:bookmarkStart w:id="71" w:name="_Toc25918251"/>
      <w:bookmarkStart w:id="72" w:name="_Toc25741764"/>
      <w:bookmarkStart w:id="73" w:name="_Toc26622998"/>
      <w:bookmarkStart w:id="74" w:name="_Toc26627704"/>
      <w:r>
        <w:rPr>
          <w:u w:val="single"/>
        </w:rPr>
        <w:t>US Department of Energy 2014</w:t>
      </w:r>
      <w:r>
        <w:t xml:space="preserve"> (cabinet-level department of the United States Government) 10 April 2014 “The Production Tax Credit is Key to a Strong U.S. Wind Industry” </w:t>
      </w:r>
      <w:hyperlink r:id="rId30" w:history="1">
        <w:r>
          <w:rPr>
            <w:rStyle w:val="Hyperlink"/>
          </w:rPr>
          <w:t>https://www.energy.gov/articles/production-tax-credit-key-strong-us-wind-industry</w:t>
        </w:r>
        <w:bookmarkEnd w:id="71"/>
        <w:bookmarkEnd w:id="72"/>
        <w:bookmarkEnd w:id="73"/>
        <w:bookmarkEnd w:id="74"/>
      </w:hyperlink>
    </w:p>
    <w:p w14:paraId="248C1E46" w14:textId="77777777" w:rsidR="008E0676" w:rsidRDefault="008E0676" w:rsidP="008E0676">
      <w:pPr>
        <w:pStyle w:val="Evidence"/>
        <w:rPr>
          <w:u w:val="single"/>
        </w:rPr>
      </w:pPr>
      <w:r>
        <w:rPr>
          <w:u w:val="single"/>
        </w:rPr>
        <w:t>A new report by the Energy Department’s National Renewable Energy Laboratory analyzes the effects the production tax credit (PTC) could have on the continued growth of wind power and, in turn, on the domestic wind energy manufacturing industry. The report notes that the PTC has been critical to the development of the wind power industry and the deployment of wind generation in the United States. From 2006 to 2012, wind power capacity has grown at an average annual rate of approximately 30 percent and the costs of new installed wind have dropped by 22 percent.</w:t>
      </w:r>
      <w:r>
        <w:t xml:space="preserve"> At the same time, domestic manufacturers are now supplying more than 70 percent of equipment installed at U.S. wind farms -- up from just 25 percent in 2006. </w:t>
      </w:r>
      <w:r>
        <w:rPr>
          <w:u w:val="single"/>
        </w:rPr>
        <w:t>In 2012, the industry also supported approximately 80,000 jobs up and down the supply chain and in nearly every state.</w:t>
      </w:r>
    </w:p>
    <w:p w14:paraId="41DE2A4F" w14:textId="47F99DD2" w:rsidR="008E0676" w:rsidRDefault="008E0676" w:rsidP="008E0676">
      <w:pPr>
        <w:pStyle w:val="Contention2"/>
      </w:pPr>
      <w:bookmarkStart w:id="75" w:name="_Toc26629945"/>
      <w:r>
        <w:t xml:space="preserve">Link:  Wind energy reduces pollution – </w:t>
      </w:r>
      <w:proofErr w:type="gramStart"/>
      <w:r>
        <w:t>it’s</w:t>
      </w:r>
      <w:proofErr w:type="gramEnd"/>
      <w:r>
        <w:t xml:space="preserve"> a clean alternative to fossil fuels</w:t>
      </w:r>
      <w:bookmarkEnd w:id="75"/>
    </w:p>
    <w:p w14:paraId="1BF6EDED" w14:textId="226B3B1E" w:rsidR="008E0676" w:rsidRDefault="008E0676" w:rsidP="008E0676">
      <w:pPr>
        <w:pStyle w:val="Citation3"/>
      </w:pPr>
      <w:bookmarkStart w:id="76" w:name="_Toc25918252"/>
      <w:bookmarkStart w:id="77" w:name="_Toc26622999"/>
      <w:bookmarkStart w:id="78" w:name="_Toc26627705"/>
      <w:r>
        <w:rPr>
          <w:u w:val="single"/>
        </w:rPr>
        <w:t>Energy Information Administration 2018</w:t>
      </w:r>
      <w:r>
        <w:t xml:space="preserve"> (part of the US </w:t>
      </w:r>
      <w:proofErr w:type="spellStart"/>
      <w:r>
        <w:t>Dept</w:t>
      </w:r>
      <w:proofErr w:type="spellEnd"/>
      <w:r>
        <w:t xml:space="preserve"> of Energy.) Updated 19 December 2018 “Wind energy and the environment” </w:t>
      </w:r>
      <w:hyperlink r:id="rId31" w:history="1">
        <w:r>
          <w:rPr>
            <w:rStyle w:val="Hyperlink"/>
          </w:rPr>
          <w:t>https://www.eia.gov/energyexplained/wind/wind-energy-and-the-environment.php</w:t>
        </w:r>
        <w:bookmarkEnd w:id="76"/>
        <w:bookmarkEnd w:id="77"/>
        <w:bookmarkEnd w:id="78"/>
      </w:hyperlink>
    </w:p>
    <w:p w14:paraId="6B12616E" w14:textId="77777777" w:rsidR="008E0676" w:rsidRDefault="008E0676" w:rsidP="008E0676">
      <w:pPr>
        <w:pStyle w:val="Evidence"/>
        <w:rPr>
          <w:u w:val="single"/>
        </w:rPr>
      </w:pPr>
      <w:r>
        <w:t xml:space="preserve">Wind is a renewable energy source. </w:t>
      </w:r>
      <w:r>
        <w:rPr>
          <w:u w:val="single"/>
        </w:rPr>
        <w:t>Overall, using wind to produce energy has fewer effects on the environment than many other energy sources. Wind turbines do not release emissions that can pollute the air or water (with rare exceptions), and they do not require water for cooling. Wind turbines may also reduce the amount of electricity generation from fossil fuels, which results in lower total air pollution and carbon dioxide emissions.</w:t>
      </w:r>
    </w:p>
    <w:p w14:paraId="169BB2DE" w14:textId="77777777" w:rsidR="00045819" w:rsidRDefault="00045819" w:rsidP="00045819">
      <w:pPr>
        <w:pStyle w:val="Contention2"/>
      </w:pPr>
      <w:bookmarkStart w:id="79" w:name="_Toc26629946"/>
      <w:r>
        <w:t>Impact:  Carbon emissions cause human health risks, property damage and environmental hazards</w:t>
      </w:r>
      <w:bookmarkEnd w:id="79"/>
    </w:p>
    <w:p w14:paraId="6E29B860" w14:textId="77777777" w:rsidR="00045819" w:rsidRDefault="00045819" w:rsidP="00045819">
      <w:pPr>
        <w:pStyle w:val="Citation3"/>
      </w:pPr>
      <w:bookmarkStart w:id="80" w:name="_Toc13824178"/>
      <w:bookmarkStart w:id="81" w:name="_Toc24297250"/>
      <w:bookmarkStart w:id="82" w:name="_Toc24317462"/>
      <w:bookmarkStart w:id="83" w:name="_Toc26623000"/>
      <w:bookmarkStart w:id="84" w:name="_Toc26627706"/>
      <w:r>
        <w:rPr>
          <w:u w:val="single"/>
        </w:rPr>
        <w:t>The Urban-Brookings Tax Policy Center 2018.</w:t>
      </w:r>
      <w:r>
        <w:t xml:space="preserve"> (</w:t>
      </w:r>
      <w:proofErr w:type="gramStart"/>
      <w:r>
        <w:t>joint</w:t>
      </w:r>
      <w:proofErr w:type="gramEnd"/>
      <w:r>
        <w:t xml:space="preserve"> venture of the Urban Institute and Brookings Institution; made up of nationally recognized experts in tax, budget, and social policy who have served at the highest levels of government.) “What is a carbon tax?” Ethical disclosure:  article is undated but references materials published in 2018. </w:t>
      </w:r>
      <w:hyperlink r:id="rId32" w:history="1">
        <w:r>
          <w:rPr>
            <w:rStyle w:val="Hyperlink"/>
          </w:rPr>
          <w:t>https://www.taxpolicycenter.org/briefing-book/what-carbon-tax</w:t>
        </w:r>
        <w:bookmarkEnd w:id="80"/>
        <w:bookmarkEnd w:id="81"/>
        <w:bookmarkEnd w:id="82"/>
        <w:bookmarkEnd w:id="83"/>
        <w:bookmarkEnd w:id="84"/>
      </w:hyperlink>
    </w:p>
    <w:p w14:paraId="519330E3" w14:textId="77777777" w:rsidR="00045819" w:rsidRDefault="00045819" w:rsidP="00045819">
      <w:pPr>
        <w:pStyle w:val="Evidence"/>
      </w:pPr>
      <w:r>
        <w:rPr>
          <w:u w:val="single"/>
        </w:rPr>
        <w:t>Emissions of carbon dioxide, methane, nitrous oxide, and other greenhouse gases are increasing global temperatures, raising sea levels, shifting rainfall patterns, boosting storm intensity, and harming coral reefs and other marine life. Greenhouse gas emissions thus create a host of potential economic and environmental threats, including property damage from storms, human health risks, reduced agricultural productivity, and ecosystem deterioration</w:t>
      </w:r>
      <w:r>
        <w:t xml:space="preserve"> (Environmental Protection Agency 2017; National Aeronautics and Space Administration 2018).</w:t>
      </w:r>
    </w:p>
    <w:p w14:paraId="644A7BFF" w14:textId="201C2C55" w:rsidR="00045819" w:rsidRDefault="00045819" w:rsidP="00045819">
      <w:pPr>
        <w:pStyle w:val="Contention2"/>
      </w:pPr>
      <w:bookmarkStart w:id="85" w:name="_Toc26629947"/>
      <w:r>
        <w:lastRenderedPageBreak/>
        <w:t>Impact:  Pollution particles cause sickness &amp; death.</w:t>
      </w:r>
      <w:bookmarkEnd w:id="85"/>
    </w:p>
    <w:p w14:paraId="1883DEE0" w14:textId="77777777" w:rsidR="00045819" w:rsidRDefault="00045819" w:rsidP="00045819">
      <w:pPr>
        <w:pStyle w:val="Citation3"/>
      </w:pPr>
      <w:bookmarkStart w:id="86" w:name="_Toc24317467"/>
      <w:bookmarkStart w:id="87" w:name="_Toc26623001"/>
      <w:bookmarkStart w:id="88" w:name="_Toc26627707"/>
      <w:r w:rsidRPr="0026469A">
        <w:rPr>
          <w:u w:val="single"/>
        </w:rPr>
        <w:t>Joel K. Bourne 2019</w:t>
      </w:r>
      <w:r w:rsidRPr="0026469A">
        <w:t xml:space="preserve"> (</w:t>
      </w:r>
      <w:r>
        <w:t>journalist</w:t>
      </w:r>
      <w:r w:rsidRPr="0026469A">
        <w:t xml:space="preserve">) </w:t>
      </w:r>
      <w:r>
        <w:t xml:space="preserve">NATIONAL GEOGRAPHIC 19 </w:t>
      </w:r>
      <w:r>
        <w:rPr>
          <w:rStyle w:val="main-title--span"/>
        </w:rPr>
        <w:t>Feb 2019 Co</w:t>
      </w:r>
      <w:r w:rsidRPr="0026469A">
        <w:rPr>
          <w:rStyle w:val="main-title--span"/>
        </w:rPr>
        <w:t xml:space="preserve">al’s other dark side: Toxic ash that can poison water and </w:t>
      </w:r>
      <w:proofErr w:type="gramStart"/>
      <w:r w:rsidRPr="0026469A">
        <w:rPr>
          <w:rStyle w:val="main-title--span"/>
        </w:rPr>
        <w:t>people</w:t>
      </w:r>
      <w:r>
        <w:rPr>
          <w:rStyle w:val="main-title--span"/>
        </w:rPr>
        <w:t xml:space="preserve"> </w:t>
      </w:r>
      <w:r>
        <w:t xml:space="preserve"> </w:t>
      </w:r>
      <w:proofErr w:type="gramEnd"/>
      <w:r>
        <w:fldChar w:fldCharType="begin"/>
      </w:r>
      <w:r>
        <w:instrText xml:space="preserve"> HYPERLINK "https://www.nationalgeographic.com/environment/2019/02/coal-other-dark-side-toxic-ash/" \l "close" </w:instrText>
      </w:r>
      <w:r>
        <w:fldChar w:fldCharType="separate"/>
      </w:r>
      <w:r>
        <w:rPr>
          <w:rStyle w:val="Hyperlink"/>
        </w:rPr>
        <w:t>https://www.nationalgeographic.com/environment/2019/02/coal-other-dark-side-toxic-ash/#close</w:t>
      </w:r>
      <w:bookmarkEnd w:id="86"/>
      <w:bookmarkEnd w:id="87"/>
      <w:bookmarkEnd w:id="88"/>
      <w:r>
        <w:rPr>
          <w:rStyle w:val="Hyperlink"/>
        </w:rPr>
        <w:fldChar w:fldCharType="end"/>
      </w:r>
    </w:p>
    <w:p w14:paraId="1609E6CF" w14:textId="77777777" w:rsidR="00045819" w:rsidRPr="0026469A" w:rsidRDefault="00045819" w:rsidP="00045819">
      <w:pPr>
        <w:pStyle w:val="Evidence"/>
      </w:pPr>
      <w:r w:rsidRPr="001F4290">
        <w:t>TVA's </w:t>
      </w:r>
      <w:hyperlink r:id="rId33" w:history="1">
        <w:r w:rsidRPr="001F4290">
          <w:rPr>
            <w:rStyle w:val="Hyperlink"/>
            <w:color w:val="000000"/>
            <w:u w:val="none"/>
          </w:rPr>
          <w:t>Kingston Fossil Plant</w:t>
        </w:r>
      </w:hyperlink>
      <w:r w:rsidRPr="001F4290">
        <w:t xml:space="preserve">, built in 1955, was the largest coal-burning power plant in the world for more than a decade, and it still burns 14,000 tons of pulverized coal, or 140 rail-car loads, each day. </w:t>
      </w:r>
      <w:r w:rsidRPr="001F4290">
        <w:rPr>
          <w:u w:val="single"/>
        </w:rPr>
        <w:t>About</w:t>
      </w:r>
      <w:r w:rsidRPr="00D92824">
        <w:rPr>
          <w:u w:val="single"/>
        </w:rPr>
        <w:t xml:space="preserve"> 10 percent of the coal, the non-combustible part, becomes coal ash</w:t>
      </w:r>
      <w:r w:rsidRPr="0026469A">
        <w:t xml:space="preserve">—powdery fly ash that collects in smokestack filters, and coarser bottom ash and boiler slag that gets flushed out of the plant's furnaces. </w:t>
      </w:r>
      <w:r w:rsidRPr="00D92824">
        <w:rPr>
          <w:u w:val="single"/>
        </w:rPr>
        <w:t>The ash</w:t>
      </w:r>
      <w:r w:rsidRPr="0026469A">
        <w:t xml:space="preserve"> is a mix of clays, quartz, and other minerals, forged into tiny glass-like beads by the heat of the fire. </w:t>
      </w:r>
      <w:proofErr w:type="gramStart"/>
      <w:r w:rsidRPr="0026469A">
        <w:t>But</w:t>
      </w:r>
      <w:proofErr w:type="gramEnd"/>
      <w:r w:rsidRPr="0026469A">
        <w:t xml:space="preserve"> it also </w:t>
      </w:r>
      <w:r w:rsidRPr="00D92824">
        <w:rPr>
          <w:u w:val="single"/>
        </w:rPr>
        <w:t>concentrates dozens of naturally occurring heavy metals, including </w:t>
      </w:r>
      <w:hyperlink r:id="rId34" w:history="1">
        <w:r w:rsidRPr="00D92824">
          <w:rPr>
            <w:rStyle w:val="Hyperlink"/>
            <w:color w:val="000000"/>
            <w:u w:val="single"/>
          </w:rPr>
          <w:t>known carcinogens and toxins</w:t>
        </w:r>
      </w:hyperlink>
      <w:r w:rsidRPr="00D92824">
        <w:rPr>
          <w:u w:val="single"/>
        </w:rPr>
        <w:t> such as arsenic, cadmium, lead, vanadium, chromium, as well as radioactive uranium and radon. These metals pose the greatest health threat from coal ash</w:t>
      </w:r>
      <w:r w:rsidRPr="0026469A">
        <w:t xml:space="preserve">. Even without a catastrophic spill, they can leach into and contaminate groundwater. </w:t>
      </w:r>
      <w:r w:rsidRPr="00D92824">
        <w:rPr>
          <w:u w:val="single"/>
        </w:rPr>
        <w:t>Attached to fine particles of ash they can drift through the air, blowing onto skin and into nostrils. Some coal ash particles are so fine—less than 2.5 microns in diameter, a </w:t>
      </w:r>
      <w:hyperlink r:id="rId35" w:history="1">
        <w:r w:rsidRPr="00D92824">
          <w:rPr>
            <w:rStyle w:val="Hyperlink"/>
            <w:color w:val="000000"/>
            <w:u w:val="single"/>
          </w:rPr>
          <w:t>30th the width of a human hair</w:t>
        </w:r>
      </w:hyperlink>
      <w:r w:rsidRPr="00D92824">
        <w:rPr>
          <w:u w:val="single"/>
        </w:rPr>
        <w:t>—that they can be sucked deep into the lungs and become a health hazard</w:t>
      </w:r>
      <w:r w:rsidRPr="0026469A">
        <w:t xml:space="preserve"> even without toxic hitchhikers. </w:t>
      </w:r>
      <w:r w:rsidRPr="00D92824">
        <w:rPr>
          <w:u w:val="single"/>
        </w:rPr>
        <w:t xml:space="preserve">PM 2.5, as such particles are called, are also in smog, smoke, and auto exhaust, and </w:t>
      </w:r>
      <w:proofErr w:type="gramStart"/>
      <w:r w:rsidRPr="00D92824">
        <w:rPr>
          <w:u w:val="single"/>
        </w:rPr>
        <w:t>they’re</w:t>
      </w:r>
      <w:proofErr w:type="gramEnd"/>
      <w:r w:rsidRPr="00D92824">
        <w:rPr>
          <w:u w:val="single"/>
        </w:rPr>
        <w:t xml:space="preserve"> a known cause of </w:t>
      </w:r>
      <w:hyperlink r:id="rId36" w:history="1">
        <w:r w:rsidRPr="00D92824">
          <w:rPr>
            <w:rStyle w:val="Hyperlink"/>
            <w:color w:val="000000"/>
            <w:u w:val="single"/>
          </w:rPr>
          <w:t>numerous respiratory and cardiovascular diseases</w:t>
        </w:r>
      </w:hyperlink>
      <w:r w:rsidRPr="00D92824">
        <w:rPr>
          <w:u w:val="single"/>
        </w:rPr>
        <w:t> and a significant cause of </w:t>
      </w:r>
      <w:hyperlink r:id="rId37" w:history="1">
        <w:r w:rsidRPr="00D92824">
          <w:rPr>
            <w:rStyle w:val="Hyperlink"/>
            <w:color w:val="000000"/>
            <w:u w:val="single"/>
          </w:rPr>
          <w:t>global mortality</w:t>
        </w:r>
      </w:hyperlink>
      <w:r w:rsidRPr="0026469A">
        <w:t>.</w:t>
      </w:r>
    </w:p>
    <w:p w14:paraId="4E286492" w14:textId="3B2E5F5E" w:rsidR="008E0676" w:rsidRDefault="009E317F" w:rsidP="009E317F">
      <w:pPr>
        <w:pStyle w:val="Contention1"/>
      </w:pPr>
      <w:bookmarkStart w:id="89" w:name="_Toc26629948"/>
      <w:r>
        <w:t>3.  Net social costs</w:t>
      </w:r>
      <w:bookmarkEnd w:id="89"/>
    </w:p>
    <w:p w14:paraId="7D0D67D2" w14:textId="4C09622D" w:rsidR="009E317F" w:rsidRDefault="009E317F" w:rsidP="009E317F">
      <w:pPr>
        <w:pStyle w:val="Contention2"/>
      </w:pPr>
      <w:bookmarkStart w:id="90" w:name="_Toc26629949"/>
      <w:r>
        <w:t>Cost to society of dealing with pollution and health problems outweighs the fiscal cost of PTC tax credit</w:t>
      </w:r>
      <w:bookmarkEnd w:id="90"/>
    </w:p>
    <w:p w14:paraId="76C0D203" w14:textId="0AC699B7" w:rsidR="009E317F" w:rsidRPr="009E317F" w:rsidRDefault="009E317F" w:rsidP="009E317F">
      <w:pPr>
        <w:pStyle w:val="Citation3"/>
      </w:pPr>
      <w:bookmarkStart w:id="91" w:name="_Toc25918278"/>
      <w:bookmarkStart w:id="92" w:name="_Toc25741766"/>
      <w:bookmarkStart w:id="93" w:name="_Toc25739030"/>
      <w:bookmarkStart w:id="94" w:name="_Toc25680313"/>
      <w:bookmarkStart w:id="95" w:name="_Toc26627708"/>
      <w:r w:rsidRPr="009E317F">
        <w:rPr>
          <w:rStyle w:val="Emphasis"/>
          <w:i/>
          <w:iCs w:val="0"/>
          <w:u w:val="single"/>
        </w:rPr>
        <w:t>Southern Alliance for Clean Energy 2015</w:t>
      </w:r>
      <w:r w:rsidRPr="009E317F">
        <w:rPr>
          <w:rStyle w:val="Emphasis"/>
          <w:i/>
          <w:iCs w:val="0"/>
        </w:rPr>
        <w:t xml:space="preserve"> (over 30 years’ experience as a leading voice calling for smart energy policies in our region that help protect our quali</w:t>
      </w:r>
      <w:r>
        <w:rPr>
          <w:rStyle w:val="Emphasis"/>
          <w:i/>
          <w:iCs w:val="0"/>
        </w:rPr>
        <w:t>ty of life and treasured places</w:t>
      </w:r>
      <w:r w:rsidRPr="009E317F">
        <w:rPr>
          <w:rStyle w:val="Emphasis"/>
          <w:i/>
          <w:iCs w:val="0"/>
        </w:rPr>
        <w:t>.) 12 November 2015 “</w:t>
      </w:r>
      <w:r w:rsidRPr="009E317F">
        <w:t xml:space="preserve">How Valuable is Wind Energy?” </w:t>
      </w:r>
      <w:hyperlink r:id="rId38" w:history="1">
        <w:r w:rsidRPr="009E317F">
          <w:rPr>
            <w:rStyle w:val="Hyperlink"/>
            <w:color w:val="auto"/>
            <w:u w:val="none"/>
          </w:rPr>
          <w:t>https://cleanenergy.org/blog/windptcbenefits/</w:t>
        </w:r>
        <w:bookmarkEnd w:id="91"/>
        <w:bookmarkEnd w:id="92"/>
        <w:bookmarkEnd w:id="93"/>
        <w:bookmarkEnd w:id="94"/>
        <w:bookmarkEnd w:id="95"/>
      </w:hyperlink>
    </w:p>
    <w:p w14:paraId="5E45BF2A" w14:textId="77777777" w:rsidR="009E317F" w:rsidRDefault="009E317F" w:rsidP="009E317F">
      <w:pPr>
        <w:pStyle w:val="Evidence"/>
      </w:pPr>
      <w:r>
        <w:t>Fortunately, the Department of Energy has monetized some of these positive attributes of wind power for easy comparison</w:t>
      </w:r>
      <w:r w:rsidRPr="009E317F">
        <w:rPr>
          <w:u w:val="single"/>
        </w:rPr>
        <w:t>. Currently, society pays the price for harmful air emissions</w:t>
      </w:r>
      <w:proofErr w:type="gramStart"/>
      <w:r w:rsidRPr="009E317F">
        <w:rPr>
          <w:u w:val="single"/>
        </w:rPr>
        <w:t>;</w:t>
      </w:r>
      <w:proofErr w:type="gramEnd"/>
      <w:r w:rsidRPr="009E317F">
        <w:rPr>
          <w:u w:val="single"/>
        </w:rPr>
        <w:t xml:space="preserve"> predominately through our health and the health of ecosystems. These externalized costs</w:t>
      </w:r>
      <w:r>
        <w:t xml:space="preserve"> (externalities) </w:t>
      </w:r>
      <w:r w:rsidRPr="009E317F">
        <w:rPr>
          <w:u w:val="single"/>
        </w:rPr>
        <w:t xml:space="preserve">do not show up on our electric bills, but we pay them </w:t>
      </w:r>
      <w:proofErr w:type="gramStart"/>
      <w:r w:rsidRPr="009E317F">
        <w:rPr>
          <w:u w:val="single"/>
        </w:rPr>
        <w:t>never-the-less</w:t>
      </w:r>
      <w:proofErr w:type="gramEnd"/>
      <w:r w:rsidRPr="009E317F">
        <w:rPr>
          <w:u w:val="single"/>
        </w:rPr>
        <w:t>. In the </w:t>
      </w:r>
      <w:r w:rsidRPr="009E317F">
        <w:rPr>
          <w:rStyle w:val="Emphasis"/>
          <w:u w:val="single"/>
        </w:rPr>
        <w:t>Wind Vision</w:t>
      </w:r>
      <w:r w:rsidRPr="009E317F">
        <w:rPr>
          <w:u w:val="single"/>
        </w:rPr>
        <w:t> report released in March of this year, the Department of Energy notes that wind power’s reduction of harmful air emissions would equate to a </w:t>
      </w:r>
      <w:hyperlink r:id="rId39" w:tgtFrame="_blank" w:history="1">
        <w:r w:rsidRPr="009E317F">
          <w:rPr>
            <w:rStyle w:val="Hyperlink"/>
            <w:u w:val="single"/>
          </w:rPr>
          <w:t xml:space="preserve">cost savings of roughly 4.0 cents per </w:t>
        </w:r>
        <w:proofErr w:type="gramStart"/>
        <w:r w:rsidRPr="009E317F">
          <w:rPr>
            <w:rStyle w:val="Hyperlink"/>
            <w:u w:val="single"/>
          </w:rPr>
          <w:t>kilowatt hour</w:t>
        </w:r>
        <w:proofErr w:type="gramEnd"/>
      </w:hyperlink>
      <w:r w:rsidRPr="009E317F">
        <w:rPr>
          <w:u w:val="single"/>
        </w:rPr>
        <w:t> of clean, renewable electricity generated. </w:t>
      </w:r>
      <w:r w:rsidRPr="009E317F">
        <w:rPr>
          <w:rStyle w:val="Emphasis"/>
          <w:u w:val="single"/>
        </w:rPr>
        <w:t>Immediately</w:t>
      </w:r>
      <w:r w:rsidRPr="009E317F">
        <w:rPr>
          <w:u w:val="single"/>
        </w:rPr>
        <w:t>, the PTC’s value is more than offset by the cost savings associated with wind energy’s reduction in harmful air emissions</w:t>
      </w:r>
      <w:r>
        <w:t>.</w:t>
      </w:r>
    </w:p>
    <w:p w14:paraId="282A734C" w14:textId="2D49C38E" w:rsidR="00D462AA" w:rsidRDefault="00D462AA" w:rsidP="00D462AA">
      <w:pPr>
        <w:pStyle w:val="Title2"/>
      </w:pPr>
      <w:bookmarkStart w:id="96" w:name="_Toc26629950"/>
      <w:r>
        <w:lastRenderedPageBreak/>
        <w:t>Works Cited</w:t>
      </w:r>
      <w:bookmarkEnd w:id="96"/>
    </w:p>
    <w:p w14:paraId="5D26EB26" w14:textId="77777777" w:rsidR="00AA52A7" w:rsidRDefault="00737918">
      <w:pPr>
        <w:pStyle w:val="TOC4"/>
        <w:tabs>
          <w:tab w:val="right" w:leader="dot" w:pos="9350"/>
        </w:tabs>
        <w:rPr>
          <w:rFonts w:asciiTheme="minorHAnsi" w:eastAsiaTheme="minorEastAsia" w:hAnsiTheme="minorHAnsi" w:cstheme="minorBidi"/>
          <w:noProof/>
          <w:sz w:val="22"/>
          <w:u w:val="none"/>
        </w:rPr>
      </w:pPr>
      <w:r>
        <w:fldChar w:fldCharType="begin"/>
      </w:r>
      <w:r>
        <w:instrText xml:space="preserve"> TOC \o "1-4" \n \t "Citation3,4" </w:instrText>
      </w:r>
      <w:r>
        <w:fldChar w:fldCharType="separate"/>
      </w:r>
      <w:r w:rsidR="00AA52A7" w:rsidRPr="00784BF2">
        <w:rPr>
          <w:noProof/>
        </w:rPr>
        <w:t>Chad Mills, Daniel Lee and John Montgomery 2019</w:t>
      </w:r>
      <w:r w:rsidR="00AA52A7">
        <w:rPr>
          <w:noProof/>
        </w:rPr>
        <w:t xml:space="preserve"> (all are attorneys with Hayes Boone law firm in Houston, Tex.) 29 Sept 2019 Renewables Trends and Regulatory Updates </w:t>
      </w:r>
      <w:r w:rsidR="00AA52A7" w:rsidRPr="00784BF2">
        <w:rPr>
          <w:noProof/>
          <w:color w:val="7F7F7F"/>
          <w:u w:val="dotted" w:color="7F7F7F"/>
        </w:rPr>
        <w:t>https://www.haynesboone.com/-/media/files/attorney-publications/2019/renewables-article-for-hb-energy-roundup.ashx?la=en&amp;hash=B10184E2FE1DA29370ECE369666C2138A16E4992</w:t>
      </w:r>
    </w:p>
    <w:p w14:paraId="3917F941" w14:textId="77777777" w:rsidR="00AA52A7" w:rsidRDefault="00AA52A7">
      <w:pPr>
        <w:pStyle w:val="TOC4"/>
        <w:tabs>
          <w:tab w:val="right" w:leader="dot" w:pos="9350"/>
        </w:tabs>
        <w:rPr>
          <w:rFonts w:asciiTheme="minorHAnsi" w:eastAsiaTheme="minorEastAsia" w:hAnsiTheme="minorHAnsi" w:cstheme="minorBidi"/>
          <w:noProof/>
          <w:sz w:val="22"/>
          <w:u w:val="none"/>
        </w:rPr>
      </w:pPr>
      <w:r w:rsidRPr="00784BF2">
        <w:rPr>
          <w:noProof/>
        </w:rPr>
        <w:t>Benjamin Silliman 2019</w:t>
      </w:r>
      <w:r>
        <w:rPr>
          <w:noProof/>
        </w:rPr>
        <w:t xml:space="preserve"> (research associate for energy and U.S. foreign policy at the Council on Foreign Relations) 15 July 2019 “A New Dawn for Wind Energy Infrastructure After the Production Tax Credit Sunset” </w:t>
      </w:r>
      <w:r w:rsidRPr="00784BF2">
        <w:rPr>
          <w:noProof/>
          <w:u w:color="7F7F7F"/>
        </w:rPr>
        <w:t>https://www.cfr.org/blog/new-dawn-wind-energy-infrastructure-after-production-tax-credit-sunset</w:t>
      </w:r>
    </w:p>
    <w:p w14:paraId="67C21465" w14:textId="77777777" w:rsidR="00AA52A7" w:rsidRDefault="00AA52A7">
      <w:pPr>
        <w:pStyle w:val="TOC4"/>
        <w:tabs>
          <w:tab w:val="right" w:leader="dot" w:pos="9350"/>
        </w:tabs>
        <w:rPr>
          <w:rFonts w:asciiTheme="minorHAnsi" w:eastAsiaTheme="minorEastAsia" w:hAnsiTheme="minorHAnsi" w:cstheme="minorBidi"/>
          <w:noProof/>
          <w:sz w:val="22"/>
          <w:u w:val="none"/>
        </w:rPr>
      </w:pPr>
      <w:r w:rsidRPr="00784BF2">
        <w:rPr>
          <w:noProof/>
        </w:rPr>
        <w:t>US Energy Information Administration 2019 (</w:t>
      </w:r>
      <w:r>
        <w:rPr>
          <w:noProof/>
        </w:rPr>
        <w:t>part of the US Dept of Energy) 15 May 2019 “Tax credit phaseout encourages more wind power plants to be added by end of year” https://www.eia.gov/todayinenergy/detail.php?id=39472</w:t>
      </w:r>
    </w:p>
    <w:p w14:paraId="1B95421B" w14:textId="77777777" w:rsidR="00AA52A7" w:rsidRDefault="00AA52A7">
      <w:pPr>
        <w:pStyle w:val="TOC4"/>
        <w:tabs>
          <w:tab w:val="right" w:leader="dot" w:pos="9350"/>
        </w:tabs>
        <w:rPr>
          <w:rFonts w:asciiTheme="minorHAnsi" w:eastAsiaTheme="minorEastAsia" w:hAnsiTheme="minorHAnsi" w:cstheme="minorBidi"/>
          <w:noProof/>
          <w:sz w:val="22"/>
          <w:u w:val="none"/>
        </w:rPr>
      </w:pPr>
      <w:r w:rsidRPr="00784BF2">
        <w:rPr>
          <w:noProof/>
        </w:rPr>
        <w:t>Zach Starsia 2019</w:t>
      </w:r>
      <w:r>
        <w:rPr>
          <w:noProof/>
        </w:rPr>
        <w:t xml:space="preserve"> (journalist) 5 Apr 2019 “What Corporate Buyers of Renewable Energy Need to Know About Wind and Solar Tax Credits” </w:t>
      </w:r>
      <w:r w:rsidRPr="00784BF2">
        <w:rPr>
          <w:noProof/>
          <w:u w:color="7F7F7F"/>
        </w:rPr>
        <w:t>https://leveltenenergy.com/blog/energy-procurement/renewable-energy-tax-credits/</w:t>
      </w:r>
    </w:p>
    <w:p w14:paraId="4815D05D" w14:textId="77777777" w:rsidR="00AA52A7" w:rsidRDefault="00AA52A7">
      <w:pPr>
        <w:pStyle w:val="TOC4"/>
        <w:tabs>
          <w:tab w:val="right" w:leader="dot" w:pos="9350"/>
        </w:tabs>
        <w:rPr>
          <w:rFonts w:asciiTheme="minorHAnsi" w:eastAsiaTheme="minorEastAsia" w:hAnsiTheme="minorHAnsi" w:cstheme="minorBidi"/>
          <w:noProof/>
          <w:sz w:val="22"/>
          <w:u w:val="none"/>
        </w:rPr>
      </w:pPr>
      <w:r w:rsidRPr="00784BF2">
        <w:rPr>
          <w:noProof/>
        </w:rPr>
        <w:t>Southern Alliance for Clean Energy 2015</w:t>
      </w:r>
      <w:r>
        <w:rPr>
          <w:noProof/>
        </w:rPr>
        <w:t xml:space="preserve"> (over 30 years’ experience as a leading voice calling for smart energy policies in our region that help protect our quality of life and treasured places) 12 November 2015 “How Valuable is Wind Energy?” https://cleanenergy.org/blog/windptcbenefits/</w:t>
      </w:r>
    </w:p>
    <w:p w14:paraId="07E74F5D" w14:textId="77777777" w:rsidR="00AA52A7" w:rsidRDefault="00AA52A7">
      <w:pPr>
        <w:pStyle w:val="TOC4"/>
        <w:tabs>
          <w:tab w:val="right" w:leader="dot" w:pos="9350"/>
        </w:tabs>
        <w:rPr>
          <w:rFonts w:asciiTheme="minorHAnsi" w:eastAsiaTheme="minorEastAsia" w:hAnsiTheme="minorHAnsi" w:cstheme="minorBidi"/>
          <w:noProof/>
          <w:sz w:val="22"/>
          <w:u w:val="none"/>
        </w:rPr>
      </w:pPr>
      <w:r w:rsidRPr="00784BF2">
        <w:rPr>
          <w:noProof/>
        </w:rPr>
        <w:t>Joshua D. Rhodes 2019</w:t>
      </w:r>
      <w:r>
        <w:rPr>
          <w:noProof/>
        </w:rPr>
        <w:t xml:space="preserve"> (He is a research associate in the Energy Institute at The University of Texas at Austin.) 12 April 2019 “Tax Credits for Wind and Solar Work. Why are Texas Lawmakers Going After Them?” </w:t>
      </w:r>
      <w:r w:rsidRPr="00784BF2">
        <w:rPr>
          <w:noProof/>
          <w:color w:val="7F7F7F"/>
          <w:u w:val="dotted" w:color="7F7F7F"/>
        </w:rPr>
        <w:t>https://news.utexas.edu/2019/04/12/tax-credits-for-wind-and-solar-work-why-are-texas-lawmakers-going-after-them/</w:t>
      </w:r>
    </w:p>
    <w:p w14:paraId="4FDC5284" w14:textId="77777777" w:rsidR="00AA52A7" w:rsidRDefault="00AA52A7">
      <w:pPr>
        <w:pStyle w:val="TOC4"/>
        <w:tabs>
          <w:tab w:val="right" w:leader="dot" w:pos="9350"/>
        </w:tabs>
        <w:rPr>
          <w:rFonts w:asciiTheme="minorHAnsi" w:eastAsiaTheme="minorEastAsia" w:hAnsiTheme="minorHAnsi" w:cstheme="minorBidi"/>
          <w:noProof/>
          <w:sz w:val="22"/>
          <w:u w:val="none"/>
        </w:rPr>
      </w:pPr>
      <w:r w:rsidRPr="00784BF2">
        <w:rPr>
          <w:noProof/>
        </w:rPr>
        <w:t>Southern Alliance for Clean Energy 2015</w:t>
      </w:r>
      <w:r>
        <w:rPr>
          <w:noProof/>
        </w:rPr>
        <w:t xml:space="preserve"> (over 30 years’ experience as a leading voice calling for smart energy policies in our region that help protect our quality of life and treasured places.) 12 November 2015 “How Valuable is Wind Energy?” https://cleanenergy.org/blog/windptcbenefits/</w:t>
      </w:r>
    </w:p>
    <w:p w14:paraId="5256607A" w14:textId="77777777" w:rsidR="00AA52A7" w:rsidRDefault="00AA52A7">
      <w:pPr>
        <w:pStyle w:val="TOC4"/>
        <w:tabs>
          <w:tab w:val="right" w:leader="dot" w:pos="9350"/>
        </w:tabs>
        <w:rPr>
          <w:rFonts w:asciiTheme="minorHAnsi" w:eastAsiaTheme="minorEastAsia" w:hAnsiTheme="minorHAnsi" w:cstheme="minorBidi"/>
          <w:noProof/>
          <w:sz w:val="22"/>
          <w:u w:val="none"/>
        </w:rPr>
      </w:pPr>
      <w:r w:rsidRPr="00784BF2">
        <w:rPr>
          <w:noProof/>
        </w:rPr>
        <w:t>Karl-Erik Stromstra 2019</w:t>
      </w:r>
      <w:r>
        <w:rPr>
          <w:noProof/>
        </w:rPr>
        <w:t xml:space="preserve"> (journalist;  spent 10 years covering the global renewable energy market at Recharge, first as a London-based Europe correspondent and then as managing editor for North America. BA in Human Biology from Michigan State University and an MA in Journalism from Univ of Southern Calif.) 14 June 2019 “Another Wind PTC Extension? No Thanks, Many in Industry Say” </w:t>
      </w:r>
      <w:r w:rsidRPr="00784BF2">
        <w:rPr>
          <w:noProof/>
          <w:color w:val="7F7F7F"/>
          <w:u w:val="dotted" w:color="7F7F7F"/>
        </w:rPr>
        <w:t>https://www.greentechmedia.com/articles/read/another-wind-ptc-extension-no-thanks-say-many-in-industry</w:t>
      </w:r>
    </w:p>
    <w:p w14:paraId="56C00FF2" w14:textId="77777777" w:rsidR="00AA52A7" w:rsidRDefault="00AA52A7">
      <w:pPr>
        <w:pStyle w:val="TOC4"/>
        <w:tabs>
          <w:tab w:val="right" w:leader="dot" w:pos="9350"/>
        </w:tabs>
        <w:rPr>
          <w:rFonts w:asciiTheme="minorHAnsi" w:eastAsiaTheme="minorEastAsia" w:hAnsiTheme="minorHAnsi" w:cstheme="minorBidi"/>
          <w:noProof/>
          <w:sz w:val="22"/>
          <w:u w:val="none"/>
        </w:rPr>
      </w:pPr>
      <w:r w:rsidRPr="00784BF2">
        <w:rPr>
          <w:noProof/>
        </w:rPr>
        <w:t>Union of Concerned Scientists 2015</w:t>
      </w:r>
      <w:r>
        <w:rPr>
          <w:noProof/>
        </w:rPr>
        <w:t xml:space="preserve"> (founded in 1969 by scientists and students at the Massachusetts Institute of Technology, advocating for scientific research to be directed away from military technologies and toward solving pressing environmental and social problems.) Updated 9 Feb 2015 “</w:t>
      </w:r>
      <w:r w:rsidRPr="00784BF2">
        <w:rPr>
          <w:noProof/>
          <w:highlight w:val="yellow"/>
        </w:rPr>
        <w:t>Production Tax Credit for Renewable Energy</w:t>
      </w:r>
      <w:r>
        <w:rPr>
          <w:noProof/>
        </w:rPr>
        <w:t xml:space="preserve">” </w:t>
      </w:r>
      <w:r w:rsidRPr="00784BF2">
        <w:rPr>
          <w:noProof/>
          <w:color w:val="7F7F7F"/>
          <w:u w:val="dotted" w:color="7F7F7F"/>
        </w:rPr>
        <w:t>https://www.ucsusa.org/resources/production-tax-credit-renewable-energy</w:t>
      </w:r>
    </w:p>
    <w:p w14:paraId="213098C6" w14:textId="77777777" w:rsidR="00AA52A7" w:rsidRDefault="00AA52A7">
      <w:pPr>
        <w:pStyle w:val="TOC4"/>
        <w:tabs>
          <w:tab w:val="right" w:leader="dot" w:pos="9350"/>
        </w:tabs>
        <w:rPr>
          <w:rFonts w:asciiTheme="minorHAnsi" w:eastAsiaTheme="minorEastAsia" w:hAnsiTheme="minorHAnsi" w:cstheme="minorBidi"/>
          <w:noProof/>
          <w:sz w:val="22"/>
          <w:u w:val="none"/>
        </w:rPr>
      </w:pPr>
      <w:r w:rsidRPr="00784BF2">
        <w:rPr>
          <w:noProof/>
        </w:rPr>
        <w:t>Benjamin Silliman 2019</w:t>
      </w:r>
      <w:r>
        <w:rPr>
          <w:noProof/>
        </w:rPr>
        <w:t xml:space="preserve"> (research associate for energy and U.S. foreign policy at the Council on Foreign Relations.) 15 July 2019 “A New Dawn for Wind Energy Infrastructure After the Production Tax Credit Sunset” https://www.cfr.org/blog/new-dawn-wind-energy-infrastructure-after-production-tax-credit-sunset</w:t>
      </w:r>
    </w:p>
    <w:p w14:paraId="60619FF2" w14:textId="77777777" w:rsidR="00AA52A7" w:rsidRDefault="00AA52A7">
      <w:pPr>
        <w:pStyle w:val="TOC4"/>
        <w:tabs>
          <w:tab w:val="right" w:leader="dot" w:pos="9350"/>
        </w:tabs>
        <w:rPr>
          <w:rFonts w:asciiTheme="minorHAnsi" w:eastAsiaTheme="minorEastAsia" w:hAnsiTheme="minorHAnsi" w:cstheme="minorBidi"/>
          <w:noProof/>
          <w:sz w:val="22"/>
          <w:u w:val="none"/>
        </w:rPr>
      </w:pPr>
      <w:r w:rsidRPr="00784BF2">
        <w:rPr>
          <w:noProof/>
        </w:rPr>
        <w:t>John Larsen, Whitney Herndon, Hannah Kolus, and Galen Hiltbrand 2019</w:t>
      </w:r>
      <w:r>
        <w:rPr>
          <w:noProof/>
        </w:rPr>
        <w:t xml:space="preserve"> (John Larsen is a Director at Rhodium Group and leads the firm’s US power sector and energy systems research. Formerly  worked for the </w:t>
      </w:r>
      <w:r>
        <w:rPr>
          <w:noProof/>
        </w:rPr>
        <w:lastRenderedPageBreak/>
        <w:t xml:space="preserve">US Department of Energy’s Office of Energy Policy and Systems Analysis. Whitney Herndon is a Senior Analyst at Rhodium Group focused on US energy markets and policy. Hannah Kolus is a Research Analyst with Rhodium Group's Energy &amp; Climate team, focusing on US energy markets and policy. Galen Hiltbrand is a Research Analyst with Rhodium Group’s Energy &amp; Climate team. Formerly taught at Duke University’s Nicholas School of the Environment.) 26 Sept 2019 “Can Tax Credits Tackle Climate?” </w:t>
      </w:r>
      <w:r w:rsidRPr="00784BF2">
        <w:rPr>
          <w:noProof/>
          <w:color w:val="7F7F7F"/>
          <w:u w:val="dotted" w:color="7F7F7F"/>
        </w:rPr>
        <w:t>https://rhg.com/research/can-tax-credits-tackle-climate/</w:t>
      </w:r>
    </w:p>
    <w:p w14:paraId="1C41F3B6" w14:textId="77777777" w:rsidR="00AA52A7" w:rsidRDefault="00AA52A7">
      <w:pPr>
        <w:pStyle w:val="TOC4"/>
        <w:tabs>
          <w:tab w:val="right" w:leader="dot" w:pos="9350"/>
        </w:tabs>
        <w:rPr>
          <w:rFonts w:asciiTheme="minorHAnsi" w:eastAsiaTheme="minorEastAsia" w:hAnsiTheme="minorHAnsi" w:cstheme="minorBidi"/>
          <w:noProof/>
          <w:sz w:val="22"/>
          <w:u w:val="none"/>
        </w:rPr>
      </w:pPr>
      <w:r w:rsidRPr="00784BF2">
        <w:rPr>
          <w:noProof/>
        </w:rPr>
        <w:t>US Department of Energy 2014</w:t>
      </w:r>
      <w:r>
        <w:rPr>
          <w:noProof/>
        </w:rPr>
        <w:t xml:space="preserve"> (cabinet-level department of the United States Government) 10 April 2014 “The Production Tax Credit is Key to a Strong U.S. Wind Industry” </w:t>
      </w:r>
      <w:r w:rsidRPr="00784BF2">
        <w:rPr>
          <w:noProof/>
          <w:color w:val="7F7F7F"/>
          <w:u w:val="dotted" w:color="7F7F7F"/>
        </w:rPr>
        <w:t>https://www.energy.gov/articles/production-tax-credit-key-strong-us-wind-industry</w:t>
      </w:r>
    </w:p>
    <w:p w14:paraId="292F5D11" w14:textId="77777777" w:rsidR="00AA52A7" w:rsidRDefault="00AA52A7">
      <w:pPr>
        <w:pStyle w:val="TOC4"/>
        <w:tabs>
          <w:tab w:val="right" w:leader="dot" w:pos="9350"/>
        </w:tabs>
        <w:rPr>
          <w:rFonts w:asciiTheme="minorHAnsi" w:eastAsiaTheme="minorEastAsia" w:hAnsiTheme="minorHAnsi" w:cstheme="minorBidi"/>
          <w:noProof/>
          <w:sz w:val="22"/>
          <w:u w:val="none"/>
        </w:rPr>
      </w:pPr>
      <w:r w:rsidRPr="00784BF2">
        <w:rPr>
          <w:noProof/>
        </w:rPr>
        <w:t>Energy Information Administration 2018</w:t>
      </w:r>
      <w:r>
        <w:rPr>
          <w:noProof/>
        </w:rPr>
        <w:t xml:space="preserve"> (part of the US Dept of Energy.) Updated 19 December 2018 “Wind energy and the environment” </w:t>
      </w:r>
      <w:r w:rsidRPr="00784BF2">
        <w:rPr>
          <w:noProof/>
          <w:color w:val="7F7F7F"/>
          <w:u w:val="dotted" w:color="7F7F7F"/>
        </w:rPr>
        <w:t>https://www.eia.gov/energyexplained/wind/wind-energy-and-the-environment.php</w:t>
      </w:r>
    </w:p>
    <w:p w14:paraId="191227C0" w14:textId="77777777" w:rsidR="00AA52A7" w:rsidRDefault="00AA52A7">
      <w:pPr>
        <w:pStyle w:val="TOC4"/>
        <w:tabs>
          <w:tab w:val="right" w:leader="dot" w:pos="9350"/>
        </w:tabs>
        <w:rPr>
          <w:rFonts w:asciiTheme="minorHAnsi" w:eastAsiaTheme="minorEastAsia" w:hAnsiTheme="minorHAnsi" w:cstheme="minorBidi"/>
          <w:noProof/>
          <w:sz w:val="22"/>
          <w:u w:val="none"/>
        </w:rPr>
      </w:pPr>
      <w:r w:rsidRPr="00784BF2">
        <w:rPr>
          <w:noProof/>
        </w:rPr>
        <w:t>The Urban-Brookings Tax Policy Center 2018.</w:t>
      </w:r>
      <w:r>
        <w:rPr>
          <w:noProof/>
        </w:rPr>
        <w:t xml:space="preserve"> (joint venture of the Urban Institute and Brookings Institution; made up of nationally recognized experts in tax, budget, and social policy who have served at the highest levels of government.) “What is a carbon tax?” Ethical disclosure:  article is undated but references materials published in 2018. </w:t>
      </w:r>
      <w:r w:rsidRPr="00784BF2">
        <w:rPr>
          <w:noProof/>
          <w:color w:val="7F7F7F"/>
          <w:u w:val="dotted" w:color="7F7F7F"/>
        </w:rPr>
        <w:t>https://www.taxpolicycenter.org/briefing-book/what-carbon-tax</w:t>
      </w:r>
    </w:p>
    <w:p w14:paraId="688BAAAB" w14:textId="77777777" w:rsidR="00AA52A7" w:rsidRDefault="00AA52A7">
      <w:pPr>
        <w:pStyle w:val="TOC4"/>
        <w:tabs>
          <w:tab w:val="right" w:leader="dot" w:pos="9350"/>
        </w:tabs>
        <w:rPr>
          <w:rFonts w:asciiTheme="minorHAnsi" w:eastAsiaTheme="minorEastAsia" w:hAnsiTheme="minorHAnsi" w:cstheme="minorBidi"/>
          <w:noProof/>
          <w:sz w:val="22"/>
          <w:u w:val="none"/>
        </w:rPr>
      </w:pPr>
      <w:r w:rsidRPr="00784BF2">
        <w:rPr>
          <w:noProof/>
        </w:rPr>
        <w:t>Joel K. Bourne 2019</w:t>
      </w:r>
      <w:r>
        <w:rPr>
          <w:noProof/>
        </w:rPr>
        <w:t xml:space="preserve"> (journalist) NATIONAL GEOGRAPHIC 19 Feb 2019 Coal’s other dark side: Toxic ash that can poison water and people  </w:t>
      </w:r>
      <w:r w:rsidRPr="00784BF2">
        <w:rPr>
          <w:noProof/>
          <w:color w:val="7F7F7F"/>
          <w:u w:val="dotted" w:color="7F7F7F"/>
        </w:rPr>
        <w:t>https://www.nationalgeographic.com/environment/2019/02/coal-other-dark-side-toxic-ash/#close</w:t>
      </w:r>
    </w:p>
    <w:p w14:paraId="511F4B9F" w14:textId="77777777" w:rsidR="00AA52A7" w:rsidRDefault="00AA52A7">
      <w:pPr>
        <w:pStyle w:val="TOC4"/>
        <w:tabs>
          <w:tab w:val="right" w:leader="dot" w:pos="9350"/>
        </w:tabs>
        <w:rPr>
          <w:rFonts w:asciiTheme="minorHAnsi" w:eastAsiaTheme="minorEastAsia" w:hAnsiTheme="minorHAnsi" w:cstheme="minorBidi"/>
          <w:noProof/>
          <w:sz w:val="22"/>
          <w:u w:val="none"/>
        </w:rPr>
      </w:pPr>
      <w:r w:rsidRPr="00784BF2">
        <w:rPr>
          <w:noProof/>
        </w:rPr>
        <w:t>Southern Alliance for Clean Energy 2015</w:t>
      </w:r>
      <w:r>
        <w:rPr>
          <w:noProof/>
        </w:rPr>
        <w:t xml:space="preserve"> (over 30 years’ experience as a leading voice calling for smart energy policies in our region that help protect our quality of life and treasured places.) 12 November 2015 “How Valuable is Wind Energy?” https://cleanenergy.org/blog/windptcbenefits/</w:t>
      </w:r>
    </w:p>
    <w:p w14:paraId="37D888D6" w14:textId="5920DF64" w:rsidR="00EA565D" w:rsidRPr="00D922B2" w:rsidRDefault="00737918" w:rsidP="00F07344">
      <w:pPr>
        <w:pStyle w:val="TOC4"/>
        <w:numPr>
          <w:ilvl w:val="0"/>
          <w:numId w:val="0"/>
        </w:numPr>
        <w:tabs>
          <w:tab w:val="right" w:leader="dot" w:pos="9350"/>
        </w:tabs>
      </w:pPr>
      <w:r>
        <w:fldChar w:fldCharType="end"/>
      </w:r>
    </w:p>
    <w:sectPr w:rsidR="00EA565D" w:rsidRPr="00D922B2" w:rsidSect="00F04C23">
      <w:headerReference w:type="default" r:id="rId40"/>
      <w:footerReference w:type="default" r:id="rId4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5E44E4" w14:textId="77777777" w:rsidR="00D77BED" w:rsidRDefault="00D77BED" w:rsidP="001D5FD6">
      <w:pPr>
        <w:spacing w:after="0" w:line="240" w:lineRule="auto"/>
      </w:pPr>
      <w:r>
        <w:separator/>
      </w:r>
    </w:p>
    <w:p w14:paraId="0585B35A" w14:textId="77777777" w:rsidR="00D77BED" w:rsidRDefault="00D77BED"/>
    <w:p w14:paraId="753E32F9" w14:textId="77777777" w:rsidR="00D77BED" w:rsidRDefault="00D77BED"/>
  </w:endnote>
  <w:endnote w:type="continuationSeparator" w:id="0">
    <w:p w14:paraId="38D630B2" w14:textId="77777777" w:rsidR="00D77BED" w:rsidRDefault="00D77BED" w:rsidP="001D5FD6">
      <w:pPr>
        <w:spacing w:after="0" w:line="240" w:lineRule="auto"/>
      </w:pPr>
      <w:r>
        <w:continuationSeparator/>
      </w:r>
    </w:p>
    <w:p w14:paraId="0C16E3ED" w14:textId="77777777" w:rsidR="00D77BED" w:rsidRDefault="00D77BED"/>
    <w:p w14:paraId="6532A49B" w14:textId="77777777" w:rsidR="00D77BED" w:rsidRDefault="00D77B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auto"/>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82047" w14:textId="7D57C1D1" w:rsidR="009920BE" w:rsidRDefault="009920BE"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842CF3">
      <w:rPr>
        <w:noProof/>
        <w:sz w:val="24"/>
        <w:szCs w:val="24"/>
      </w:rPr>
      <w:t>10</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842CF3">
      <w:rPr>
        <w:noProof/>
        <w:sz w:val="24"/>
        <w:szCs w:val="24"/>
      </w:rPr>
      <w:t>10</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9920BE" w:rsidRDefault="009920BE"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9920BE" w:rsidRPr="00303BC4" w:rsidRDefault="009920BE"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DFC5A0" w14:textId="77777777" w:rsidR="00D77BED" w:rsidRDefault="00D77BED" w:rsidP="001D5FD6">
      <w:pPr>
        <w:spacing w:after="0" w:line="240" w:lineRule="auto"/>
      </w:pPr>
      <w:r>
        <w:separator/>
      </w:r>
    </w:p>
    <w:p w14:paraId="50AD5348" w14:textId="77777777" w:rsidR="00D77BED" w:rsidRDefault="00D77BED"/>
    <w:p w14:paraId="2460C7ED" w14:textId="77777777" w:rsidR="00D77BED" w:rsidRDefault="00D77BED"/>
  </w:footnote>
  <w:footnote w:type="continuationSeparator" w:id="0">
    <w:p w14:paraId="21AC3C93" w14:textId="77777777" w:rsidR="00D77BED" w:rsidRDefault="00D77BED" w:rsidP="001D5FD6">
      <w:pPr>
        <w:spacing w:after="0" w:line="240" w:lineRule="auto"/>
      </w:pPr>
      <w:r>
        <w:continuationSeparator/>
      </w:r>
    </w:p>
    <w:p w14:paraId="679C9244" w14:textId="77777777" w:rsidR="00D77BED" w:rsidRDefault="00D77BED"/>
    <w:p w14:paraId="7CA423C0" w14:textId="77777777" w:rsidR="00D77BED" w:rsidRDefault="00D77BE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037D4" w14:textId="5896ECDD" w:rsidR="009920BE" w:rsidRDefault="001A506B" w:rsidP="007045AC">
    <w:pPr>
      <w:pStyle w:val="Footer"/>
    </w:pPr>
    <w:r>
      <w:t>Negative:  Production</w:t>
    </w:r>
    <w:r w:rsidR="009920BE">
      <w:t xml:space="preserve"> Tax Credits</w:t>
    </w:r>
    <w:r>
      <w:t xml:space="preserve"> - good</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3"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7"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2"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14"/>
  </w:num>
  <w:num w:numId="4">
    <w:abstractNumId w:val="18"/>
  </w:num>
  <w:num w:numId="5">
    <w:abstractNumId w:val="32"/>
  </w:num>
  <w:num w:numId="6">
    <w:abstractNumId w:val="16"/>
  </w:num>
  <w:num w:numId="7">
    <w:abstractNumId w:val="33"/>
  </w:num>
  <w:num w:numId="8">
    <w:abstractNumId w:val="29"/>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1"/>
  </w:num>
  <w:num w:numId="20">
    <w:abstractNumId w:val="26"/>
  </w:num>
  <w:num w:numId="21">
    <w:abstractNumId w:val="17"/>
  </w:num>
  <w:num w:numId="22">
    <w:abstractNumId w:val="11"/>
  </w:num>
  <w:num w:numId="23">
    <w:abstractNumId w:val="15"/>
  </w:num>
  <w:num w:numId="24">
    <w:abstractNumId w:val="12"/>
  </w:num>
  <w:num w:numId="25">
    <w:abstractNumId w:val="0"/>
  </w:num>
  <w:num w:numId="26">
    <w:abstractNumId w:val="23"/>
  </w:num>
  <w:num w:numId="27">
    <w:abstractNumId w:val="21"/>
  </w:num>
  <w:num w:numId="28">
    <w:abstractNumId w:val="30"/>
  </w:num>
  <w:num w:numId="29">
    <w:abstractNumId w:val="19"/>
  </w:num>
  <w:num w:numId="30">
    <w:abstractNumId w:val="22"/>
  </w:num>
  <w:num w:numId="31">
    <w:abstractNumId w:val="13"/>
  </w:num>
  <w:num w:numId="32">
    <w:abstractNumId w:val="27"/>
  </w:num>
  <w:num w:numId="33">
    <w:abstractNumId w:val="34"/>
  </w:num>
  <w:num w:numId="34">
    <w:abstractNumId w:val="25"/>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74B"/>
    <w:rsid w:val="00005181"/>
    <w:rsid w:val="00007079"/>
    <w:rsid w:val="00011BF9"/>
    <w:rsid w:val="00037367"/>
    <w:rsid w:val="00037C74"/>
    <w:rsid w:val="00045819"/>
    <w:rsid w:val="00050B5C"/>
    <w:rsid w:val="000519FE"/>
    <w:rsid w:val="0007056F"/>
    <w:rsid w:val="00084B45"/>
    <w:rsid w:val="0008580D"/>
    <w:rsid w:val="0008674B"/>
    <w:rsid w:val="0009425D"/>
    <w:rsid w:val="000948EB"/>
    <w:rsid w:val="0009716A"/>
    <w:rsid w:val="000B0848"/>
    <w:rsid w:val="000B3CC7"/>
    <w:rsid w:val="000B504C"/>
    <w:rsid w:val="000C0767"/>
    <w:rsid w:val="000C54F8"/>
    <w:rsid w:val="000D3779"/>
    <w:rsid w:val="000D5C9A"/>
    <w:rsid w:val="000E0286"/>
    <w:rsid w:val="000E04AA"/>
    <w:rsid w:val="000F24E5"/>
    <w:rsid w:val="000F546C"/>
    <w:rsid w:val="000F5B0E"/>
    <w:rsid w:val="00105BD1"/>
    <w:rsid w:val="0013546D"/>
    <w:rsid w:val="001361FB"/>
    <w:rsid w:val="0015137D"/>
    <w:rsid w:val="0015488C"/>
    <w:rsid w:val="0017181C"/>
    <w:rsid w:val="00181EC3"/>
    <w:rsid w:val="00190F49"/>
    <w:rsid w:val="00194D92"/>
    <w:rsid w:val="00196952"/>
    <w:rsid w:val="001A14A9"/>
    <w:rsid w:val="001A506B"/>
    <w:rsid w:val="001C036D"/>
    <w:rsid w:val="001D5FD6"/>
    <w:rsid w:val="001E3834"/>
    <w:rsid w:val="001F0ADE"/>
    <w:rsid w:val="001F6768"/>
    <w:rsid w:val="00201915"/>
    <w:rsid w:val="0020276C"/>
    <w:rsid w:val="00213EE2"/>
    <w:rsid w:val="002167E6"/>
    <w:rsid w:val="00236F83"/>
    <w:rsid w:val="002438CB"/>
    <w:rsid w:val="002558C7"/>
    <w:rsid w:val="00265032"/>
    <w:rsid w:val="00265E15"/>
    <w:rsid w:val="002732DD"/>
    <w:rsid w:val="002838EE"/>
    <w:rsid w:val="00284528"/>
    <w:rsid w:val="0028462E"/>
    <w:rsid w:val="002847EA"/>
    <w:rsid w:val="00285587"/>
    <w:rsid w:val="00290BD7"/>
    <w:rsid w:val="002938DF"/>
    <w:rsid w:val="00296C2E"/>
    <w:rsid w:val="002A018C"/>
    <w:rsid w:val="002A286B"/>
    <w:rsid w:val="002A72DE"/>
    <w:rsid w:val="002C1829"/>
    <w:rsid w:val="002C20CF"/>
    <w:rsid w:val="002C4542"/>
    <w:rsid w:val="002D1F9C"/>
    <w:rsid w:val="002D2C8E"/>
    <w:rsid w:val="002D6A50"/>
    <w:rsid w:val="002E0230"/>
    <w:rsid w:val="002E7D31"/>
    <w:rsid w:val="003003CF"/>
    <w:rsid w:val="00301783"/>
    <w:rsid w:val="00302028"/>
    <w:rsid w:val="00303BC4"/>
    <w:rsid w:val="00305472"/>
    <w:rsid w:val="00313DAC"/>
    <w:rsid w:val="003153FF"/>
    <w:rsid w:val="003252AF"/>
    <w:rsid w:val="003276F1"/>
    <w:rsid w:val="00333184"/>
    <w:rsid w:val="00373DA9"/>
    <w:rsid w:val="00375D3A"/>
    <w:rsid w:val="00380948"/>
    <w:rsid w:val="00391D35"/>
    <w:rsid w:val="00394FA5"/>
    <w:rsid w:val="00395227"/>
    <w:rsid w:val="003965EC"/>
    <w:rsid w:val="00396B4A"/>
    <w:rsid w:val="003A3751"/>
    <w:rsid w:val="003B252C"/>
    <w:rsid w:val="003C37BD"/>
    <w:rsid w:val="003E478B"/>
    <w:rsid w:val="003E4ED3"/>
    <w:rsid w:val="003E6942"/>
    <w:rsid w:val="003F1151"/>
    <w:rsid w:val="003F669E"/>
    <w:rsid w:val="003F7D2A"/>
    <w:rsid w:val="00401258"/>
    <w:rsid w:val="00403FEC"/>
    <w:rsid w:val="004051DC"/>
    <w:rsid w:val="0042262F"/>
    <w:rsid w:val="004442CE"/>
    <w:rsid w:val="00453F18"/>
    <w:rsid w:val="00454B16"/>
    <w:rsid w:val="004555FD"/>
    <w:rsid w:val="0045767E"/>
    <w:rsid w:val="00457835"/>
    <w:rsid w:val="00461E5E"/>
    <w:rsid w:val="004639D6"/>
    <w:rsid w:val="004724B8"/>
    <w:rsid w:val="004731D9"/>
    <w:rsid w:val="0049656E"/>
    <w:rsid w:val="004969CB"/>
    <w:rsid w:val="004969CF"/>
    <w:rsid w:val="004A276D"/>
    <w:rsid w:val="004C3FC6"/>
    <w:rsid w:val="004D148E"/>
    <w:rsid w:val="004F011F"/>
    <w:rsid w:val="004F139E"/>
    <w:rsid w:val="00501F49"/>
    <w:rsid w:val="00502AA2"/>
    <w:rsid w:val="005111F7"/>
    <w:rsid w:val="00520F71"/>
    <w:rsid w:val="00553F1B"/>
    <w:rsid w:val="00565C56"/>
    <w:rsid w:val="00593922"/>
    <w:rsid w:val="00594AE7"/>
    <w:rsid w:val="005A01B9"/>
    <w:rsid w:val="005A0856"/>
    <w:rsid w:val="005A40C1"/>
    <w:rsid w:val="005B1129"/>
    <w:rsid w:val="005E2B5A"/>
    <w:rsid w:val="00616E3B"/>
    <w:rsid w:val="006258CC"/>
    <w:rsid w:val="006308D2"/>
    <w:rsid w:val="006359AF"/>
    <w:rsid w:val="006454BC"/>
    <w:rsid w:val="00647B08"/>
    <w:rsid w:val="006540DC"/>
    <w:rsid w:val="00660055"/>
    <w:rsid w:val="006629BD"/>
    <w:rsid w:val="00674F77"/>
    <w:rsid w:val="00675DC1"/>
    <w:rsid w:val="00680A38"/>
    <w:rsid w:val="00683A88"/>
    <w:rsid w:val="00686C35"/>
    <w:rsid w:val="00692654"/>
    <w:rsid w:val="00697B6D"/>
    <w:rsid w:val="00697C05"/>
    <w:rsid w:val="006A2CBF"/>
    <w:rsid w:val="006A5945"/>
    <w:rsid w:val="006A5C68"/>
    <w:rsid w:val="006A70E6"/>
    <w:rsid w:val="006B000C"/>
    <w:rsid w:val="006B53A4"/>
    <w:rsid w:val="006B5C75"/>
    <w:rsid w:val="006C4265"/>
    <w:rsid w:val="006C457B"/>
    <w:rsid w:val="006C6302"/>
    <w:rsid w:val="006D3F93"/>
    <w:rsid w:val="006E03C9"/>
    <w:rsid w:val="006E6A6C"/>
    <w:rsid w:val="006F5487"/>
    <w:rsid w:val="00700114"/>
    <w:rsid w:val="007006E3"/>
    <w:rsid w:val="00700C0A"/>
    <w:rsid w:val="0070221F"/>
    <w:rsid w:val="007045AC"/>
    <w:rsid w:val="00720189"/>
    <w:rsid w:val="0072413B"/>
    <w:rsid w:val="007254F4"/>
    <w:rsid w:val="0072778E"/>
    <w:rsid w:val="00732989"/>
    <w:rsid w:val="0073488F"/>
    <w:rsid w:val="00737918"/>
    <w:rsid w:val="00744919"/>
    <w:rsid w:val="00744B8F"/>
    <w:rsid w:val="00746139"/>
    <w:rsid w:val="00756E9F"/>
    <w:rsid w:val="007571F3"/>
    <w:rsid w:val="00762EB7"/>
    <w:rsid w:val="007679E5"/>
    <w:rsid w:val="00775EB7"/>
    <w:rsid w:val="00780657"/>
    <w:rsid w:val="007B39AF"/>
    <w:rsid w:val="007B4BA3"/>
    <w:rsid w:val="007B6228"/>
    <w:rsid w:val="007B6FA0"/>
    <w:rsid w:val="007C1B6A"/>
    <w:rsid w:val="007C74BB"/>
    <w:rsid w:val="007C7916"/>
    <w:rsid w:val="007D2883"/>
    <w:rsid w:val="007E770A"/>
    <w:rsid w:val="007F1EFF"/>
    <w:rsid w:val="007F6B0C"/>
    <w:rsid w:val="00801E3C"/>
    <w:rsid w:val="0082486E"/>
    <w:rsid w:val="00842CF3"/>
    <w:rsid w:val="00844A8B"/>
    <w:rsid w:val="00847706"/>
    <w:rsid w:val="00857987"/>
    <w:rsid w:val="00862146"/>
    <w:rsid w:val="00862483"/>
    <w:rsid w:val="00874518"/>
    <w:rsid w:val="00884A95"/>
    <w:rsid w:val="008921A4"/>
    <w:rsid w:val="00895B3E"/>
    <w:rsid w:val="008A5B8F"/>
    <w:rsid w:val="008A7E94"/>
    <w:rsid w:val="008B0EB0"/>
    <w:rsid w:val="008B4CC1"/>
    <w:rsid w:val="008E0676"/>
    <w:rsid w:val="008E1700"/>
    <w:rsid w:val="008E3361"/>
    <w:rsid w:val="008E5E01"/>
    <w:rsid w:val="008E5F0D"/>
    <w:rsid w:val="008F07D0"/>
    <w:rsid w:val="008F2444"/>
    <w:rsid w:val="008F2665"/>
    <w:rsid w:val="00910B4E"/>
    <w:rsid w:val="0092592E"/>
    <w:rsid w:val="00932C8D"/>
    <w:rsid w:val="0093483A"/>
    <w:rsid w:val="00934A35"/>
    <w:rsid w:val="00941310"/>
    <w:rsid w:val="00942633"/>
    <w:rsid w:val="009446C4"/>
    <w:rsid w:val="00944983"/>
    <w:rsid w:val="00946BA9"/>
    <w:rsid w:val="00950F5B"/>
    <w:rsid w:val="009541D9"/>
    <w:rsid w:val="0095509D"/>
    <w:rsid w:val="00956E0D"/>
    <w:rsid w:val="0095733B"/>
    <w:rsid w:val="009920BE"/>
    <w:rsid w:val="00994C63"/>
    <w:rsid w:val="009975FC"/>
    <w:rsid w:val="009A2CF2"/>
    <w:rsid w:val="009C076C"/>
    <w:rsid w:val="009C23FF"/>
    <w:rsid w:val="009E27A5"/>
    <w:rsid w:val="009E317F"/>
    <w:rsid w:val="009F06D9"/>
    <w:rsid w:val="00A010F2"/>
    <w:rsid w:val="00A03D2E"/>
    <w:rsid w:val="00A177C3"/>
    <w:rsid w:val="00A25462"/>
    <w:rsid w:val="00A3080B"/>
    <w:rsid w:val="00A31F34"/>
    <w:rsid w:val="00A36994"/>
    <w:rsid w:val="00A43902"/>
    <w:rsid w:val="00A4539F"/>
    <w:rsid w:val="00A52A43"/>
    <w:rsid w:val="00A53707"/>
    <w:rsid w:val="00A57A1B"/>
    <w:rsid w:val="00A62D6F"/>
    <w:rsid w:val="00A645F2"/>
    <w:rsid w:val="00A6757D"/>
    <w:rsid w:val="00A75971"/>
    <w:rsid w:val="00A75E4E"/>
    <w:rsid w:val="00A911C9"/>
    <w:rsid w:val="00A9230B"/>
    <w:rsid w:val="00A946F8"/>
    <w:rsid w:val="00A961A3"/>
    <w:rsid w:val="00AA06CB"/>
    <w:rsid w:val="00AA3CD8"/>
    <w:rsid w:val="00AA52A7"/>
    <w:rsid w:val="00AB1D4D"/>
    <w:rsid w:val="00AB32D6"/>
    <w:rsid w:val="00AB3973"/>
    <w:rsid w:val="00AC2340"/>
    <w:rsid w:val="00AD2212"/>
    <w:rsid w:val="00AD3A26"/>
    <w:rsid w:val="00AE1CE7"/>
    <w:rsid w:val="00AF2404"/>
    <w:rsid w:val="00B02578"/>
    <w:rsid w:val="00B06B98"/>
    <w:rsid w:val="00B441D5"/>
    <w:rsid w:val="00B44266"/>
    <w:rsid w:val="00B4500E"/>
    <w:rsid w:val="00B50052"/>
    <w:rsid w:val="00B514CA"/>
    <w:rsid w:val="00B6434A"/>
    <w:rsid w:val="00B70CC1"/>
    <w:rsid w:val="00B757D8"/>
    <w:rsid w:val="00B75AA1"/>
    <w:rsid w:val="00B769F6"/>
    <w:rsid w:val="00B83537"/>
    <w:rsid w:val="00B839F4"/>
    <w:rsid w:val="00B84773"/>
    <w:rsid w:val="00B9421F"/>
    <w:rsid w:val="00BA3609"/>
    <w:rsid w:val="00BB4EBE"/>
    <w:rsid w:val="00BC1FD0"/>
    <w:rsid w:val="00BD0C18"/>
    <w:rsid w:val="00BD383A"/>
    <w:rsid w:val="00BE15CE"/>
    <w:rsid w:val="00C01747"/>
    <w:rsid w:val="00C01FF0"/>
    <w:rsid w:val="00C04A45"/>
    <w:rsid w:val="00C367C3"/>
    <w:rsid w:val="00C37750"/>
    <w:rsid w:val="00C465A4"/>
    <w:rsid w:val="00C5254F"/>
    <w:rsid w:val="00C5657A"/>
    <w:rsid w:val="00C56940"/>
    <w:rsid w:val="00C627C4"/>
    <w:rsid w:val="00C71275"/>
    <w:rsid w:val="00C7428A"/>
    <w:rsid w:val="00C76930"/>
    <w:rsid w:val="00C808B9"/>
    <w:rsid w:val="00C936FD"/>
    <w:rsid w:val="00C955AF"/>
    <w:rsid w:val="00C95D87"/>
    <w:rsid w:val="00CA24B4"/>
    <w:rsid w:val="00CA7ADD"/>
    <w:rsid w:val="00CB1171"/>
    <w:rsid w:val="00CC3B7A"/>
    <w:rsid w:val="00CC6A64"/>
    <w:rsid w:val="00CD0720"/>
    <w:rsid w:val="00CE062D"/>
    <w:rsid w:val="00CE1E60"/>
    <w:rsid w:val="00CE3F31"/>
    <w:rsid w:val="00CF5E42"/>
    <w:rsid w:val="00CF7A7D"/>
    <w:rsid w:val="00D05A53"/>
    <w:rsid w:val="00D07331"/>
    <w:rsid w:val="00D11CE7"/>
    <w:rsid w:val="00D14B08"/>
    <w:rsid w:val="00D35599"/>
    <w:rsid w:val="00D462AA"/>
    <w:rsid w:val="00D47FBB"/>
    <w:rsid w:val="00D52C45"/>
    <w:rsid w:val="00D57F1D"/>
    <w:rsid w:val="00D61ACA"/>
    <w:rsid w:val="00D63B08"/>
    <w:rsid w:val="00D67FFD"/>
    <w:rsid w:val="00D730AB"/>
    <w:rsid w:val="00D77BED"/>
    <w:rsid w:val="00D922B2"/>
    <w:rsid w:val="00DA2F2D"/>
    <w:rsid w:val="00DA64B0"/>
    <w:rsid w:val="00DB022A"/>
    <w:rsid w:val="00DB3DDA"/>
    <w:rsid w:val="00DB5B27"/>
    <w:rsid w:val="00DB6570"/>
    <w:rsid w:val="00DB66BD"/>
    <w:rsid w:val="00DB7B94"/>
    <w:rsid w:val="00DC29FF"/>
    <w:rsid w:val="00DC3094"/>
    <w:rsid w:val="00DC46E4"/>
    <w:rsid w:val="00DE4778"/>
    <w:rsid w:val="00DE6160"/>
    <w:rsid w:val="00E017EE"/>
    <w:rsid w:val="00E06B30"/>
    <w:rsid w:val="00E14A09"/>
    <w:rsid w:val="00E351BF"/>
    <w:rsid w:val="00E42C4F"/>
    <w:rsid w:val="00E4330C"/>
    <w:rsid w:val="00E43F78"/>
    <w:rsid w:val="00E470E0"/>
    <w:rsid w:val="00E52C0E"/>
    <w:rsid w:val="00E6412D"/>
    <w:rsid w:val="00E6481C"/>
    <w:rsid w:val="00E6588E"/>
    <w:rsid w:val="00E65DFE"/>
    <w:rsid w:val="00E661F9"/>
    <w:rsid w:val="00E71428"/>
    <w:rsid w:val="00E7494E"/>
    <w:rsid w:val="00EA565D"/>
    <w:rsid w:val="00EC21D1"/>
    <w:rsid w:val="00ED1364"/>
    <w:rsid w:val="00EE1E8E"/>
    <w:rsid w:val="00EE3E2F"/>
    <w:rsid w:val="00EE451A"/>
    <w:rsid w:val="00F02239"/>
    <w:rsid w:val="00F04C23"/>
    <w:rsid w:val="00F07344"/>
    <w:rsid w:val="00F07F3F"/>
    <w:rsid w:val="00F10343"/>
    <w:rsid w:val="00F133B4"/>
    <w:rsid w:val="00F17A3A"/>
    <w:rsid w:val="00F201A2"/>
    <w:rsid w:val="00F2448E"/>
    <w:rsid w:val="00F25F3B"/>
    <w:rsid w:val="00F32431"/>
    <w:rsid w:val="00F36B38"/>
    <w:rsid w:val="00F43E2B"/>
    <w:rsid w:val="00F44E6A"/>
    <w:rsid w:val="00F475C5"/>
    <w:rsid w:val="00F476AD"/>
    <w:rsid w:val="00F55129"/>
    <w:rsid w:val="00F60940"/>
    <w:rsid w:val="00F60D98"/>
    <w:rsid w:val="00F622BD"/>
    <w:rsid w:val="00F62473"/>
    <w:rsid w:val="00F727B6"/>
    <w:rsid w:val="00F76F67"/>
    <w:rsid w:val="00F7723E"/>
    <w:rsid w:val="00F933C4"/>
    <w:rsid w:val="00FA41B5"/>
    <w:rsid w:val="00FB0D2B"/>
    <w:rsid w:val="00FC6B5A"/>
    <w:rsid w:val="00FC7015"/>
    <w:rsid w:val="00FC74DB"/>
    <w:rsid w:val="00FD47AA"/>
    <w:rsid w:val="00FD77E9"/>
    <w:rsid w:val="00FE1862"/>
    <w:rsid w:val="00FE297A"/>
    <w:rsid w:val="00FF704C"/>
    <w:rsid w:val="00FF7389"/>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814D3F"/>
  <w15:docId w15:val="{55436F37-43DA-4485-86D4-46F1FBC7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UnresolvedMention">
    <w:name w:val="Unresolved Mention"/>
    <w:basedOn w:val="DefaultParagraphFont"/>
    <w:uiPriority w:val="99"/>
    <w:semiHidden/>
    <w:unhideWhenUsed/>
    <w:rsid w:val="00296C2E"/>
    <w:rPr>
      <w:color w:val="605E5C"/>
      <w:shd w:val="clear" w:color="auto" w:fill="E1DFDD"/>
    </w:rPr>
  </w:style>
  <w:style w:type="character" w:styleId="Emphasis">
    <w:name w:val="Emphasis"/>
    <w:basedOn w:val="DefaultParagraphFont"/>
    <w:uiPriority w:val="20"/>
    <w:qFormat/>
    <w:rsid w:val="0093483A"/>
    <w:rPr>
      <w:i/>
      <w:iCs/>
    </w:rPr>
  </w:style>
  <w:style w:type="character" w:styleId="Strong">
    <w:name w:val="Strong"/>
    <w:basedOn w:val="DefaultParagraphFont"/>
    <w:uiPriority w:val="22"/>
    <w:qFormat/>
    <w:rsid w:val="0093483A"/>
    <w:rPr>
      <w:b/>
      <w:bCs/>
    </w:rPr>
  </w:style>
  <w:style w:type="paragraph" w:customStyle="1" w:styleId="excerpt">
    <w:name w:val="excerpt"/>
    <w:basedOn w:val="Normal"/>
    <w:rsid w:val="00395227"/>
    <w:pPr>
      <w:spacing w:before="100" w:beforeAutospacing="1" w:after="100" w:afterAutospacing="1" w:line="240" w:lineRule="auto"/>
    </w:pPr>
    <w:rPr>
      <w:rFonts w:eastAsia="Times New Roman"/>
      <w:sz w:val="24"/>
      <w:szCs w:val="24"/>
    </w:rPr>
  </w:style>
  <w:style w:type="character" w:customStyle="1" w:styleId="caps">
    <w:name w:val="caps"/>
    <w:basedOn w:val="DefaultParagraphFont"/>
    <w:rsid w:val="006E6A6C"/>
  </w:style>
  <w:style w:type="paragraph" w:customStyle="1" w:styleId="css-18icg9x">
    <w:name w:val="css-18icg9x"/>
    <w:basedOn w:val="Normal"/>
    <w:rsid w:val="006E6A6C"/>
    <w:pPr>
      <w:spacing w:before="100" w:beforeAutospacing="1" w:after="100" w:afterAutospacing="1" w:line="240" w:lineRule="auto"/>
    </w:pPr>
    <w:rPr>
      <w:rFonts w:eastAsia="Times New Roman"/>
      <w:sz w:val="24"/>
      <w:szCs w:val="24"/>
    </w:rPr>
  </w:style>
  <w:style w:type="paragraph" w:customStyle="1" w:styleId="p-text">
    <w:name w:val="p-text"/>
    <w:basedOn w:val="Normal"/>
    <w:rsid w:val="00884A95"/>
    <w:pPr>
      <w:spacing w:before="100" w:beforeAutospacing="1" w:after="100" w:afterAutospacing="1" w:line="240" w:lineRule="auto"/>
    </w:pPr>
    <w:rPr>
      <w:rFonts w:eastAsia="Times New Roman"/>
      <w:sz w:val="24"/>
      <w:szCs w:val="24"/>
    </w:rPr>
  </w:style>
  <w:style w:type="paragraph" w:customStyle="1" w:styleId="justified">
    <w:name w:val="justified"/>
    <w:basedOn w:val="Normal"/>
    <w:rsid w:val="007045AC"/>
    <w:pPr>
      <w:spacing w:before="100" w:beforeAutospacing="1" w:after="100" w:afterAutospacing="1" w:line="240" w:lineRule="auto"/>
    </w:pPr>
    <w:rPr>
      <w:rFonts w:eastAsia="Times New Roman"/>
      <w:sz w:val="24"/>
      <w:szCs w:val="24"/>
    </w:rPr>
  </w:style>
  <w:style w:type="paragraph" w:customStyle="1" w:styleId="body">
    <w:name w:val="body"/>
    <w:basedOn w:val="Normal"/>
    <w:rsid w:val="007045AC"/>
    <w:pPr>
      <w:spacing w:before="100" w:beforeAutospacing="1" w:after="100" w:afterAutospacing="1" w:line="240" w:lineRule="auto"/>
    </w:pPr>
    <w:rPr>
      <w:rFonts w:eastAsia="Times New Roman"/>
      <w:sz w:val="24"/>
      <w:szCs w:val="24"/>
    </w:rPr>
  </w:style>
  <w:style w:type="character" w:customStyle="1" w:styleId="EvidenceChar">
    <w:name w:val="Evidence Char"/>
    <w:basedOn w:val="DefaultParagraphFont"/>
    <w:link w:val="Evidence"/>
    <w:locked/>
    <w:rsid w:val="002167E6"/>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2167E6"/>
    <w:rPr>
      <w:rFonts w:ascii="Times New Roman" w:eastAsia="Times New Roman" w:hAnsi="Times New Roman"/>
      <w:b/>
      <w:bCs/>
      <w:color w:val="000000"/>
      <w:lang w:eastAsia="fr-FR"/>
    </w:rPr>
  </w:style>
  <w:style w:type="character" w:customStyle="1" w:styleId="field">
    <w:name w:val="field"/>
    <w:basedOn w:val="DefaultParagraphFont"/>
    <w:rsid w:val="0015137D"/>
  </w:style>
  <w:style w:type="character" w:customStyle="1" w:styleId="main-title--span">
    <w:name w:val="main-title--span"/>
    <w:basedOn w:val="DefaultParagraphFont"/>
    <w:rsid w:val="00045819"/>
  </w:style>
  <w:style w:type="character" w:customStyle="1" w:styleId="comp">
    <w:name w:val="comp"/>
    <w:basedOn w:val="DefaultParagraphFont"/>
    <w:rsid w:val="00CC6A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5531">
      <w:bodyDiv w:val="1"/>
      <w:marLeft w:val="0"/>
      <w:marRight w:val="0"/>
      <w:marTop w:val="0"/>
      <w:marBottom w:val="0"/>
      <w:divBdr>
        <w:top w:val="none" w:sz="0" w:space="0" w:color="auto"/>
        <w:left w:val="none" w:sz="0" w:space="0" w:color="auto"/>
        <w:bottom w:val="none" w:sz="0" w:space="0" w:color="auto"/>
        <w:right w:val="none" w:sz="0" w:space="0" w:color="auto"/>
      </w:divBdr>
    </w:div>
    <w:div w:id="55592878">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5155624">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01875225">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99634259">
      <w:bodyDiv w:val="1"/>
      <w:marLeft w:val="0"/>
      <w:marRight w:val="0"/>
      <w:marTop w:val="0"/>
      <w:marBottom w:val="0"/>
      <w:divBdr>
        <w:top w:val="none" w:sz="0" w:space="0" w:color="auto"/>
        <w:left w:val="none" w:sz="0" w:space="0" w:color="auto"/>
        <w:bottom w:val="none" w:sz="0" w:space="0" w:color="auto"/>
        <w:right w:val="none" w:sz="0" w:space="0" w:color="auto"/>
      </w:divBdr>
    </w:div>
    <w:div w:id="208495725">
      <w:bodyDiv w:val="1"/>
      <w:marLeft w:val="0"/>
      <w:marRight w:val="0"/>
      <w:marTop w:val="0"/>
      <w:marBottom w:val="0"/>
      <w:divBdr>
        <w:top w:val="none" w:sz="0" w:space="0" w:color="auto"/>
        <w:left w:val="none" w:sz="0" w:space="0" w:color="auto"/>
        <w:bottom w:val="none" w:sz="0" w:space="0" w:color="auto"/>
        <w:right w:val="none" w:sz="0" w:space="0" w:color="auto"/>
      </w:divBdr>
    </w:div>
    <w:div w:id="210189573">
      <w:bodyDiv w:val="1"/>
      <w:marLeft w:val="0"/>
      <w:marRight w:val="0"/>
      <w:marTop w:val="0"/>
      <w:marBottom w:val="0"/>
      <w:divBdr>
        <w:top w:val="none" w:sz="0" w:space="0" w:color="auto"/>
        <w:left w:val="none" w:sz="0" w:space="0" w:color="auto"/>
        <w:bottom w:val="none" w:sz="0" w:space="0" w:color="auto"/>
        <w:right w:val="none" w:sz="0" w:space="0" w:color="auto"/>
      </w:divBdr>
    </w:div>
    <w:div w:id="212810293">
      <w:bodyDiv w:val="1"/>
      <w:marLeft w:val="0"/>
      <w:marRight w:val="0"/>
      <w:marTop w:val="0"/>
      <w:marBottom w:val="0"/>
      <w:divBdr>
        <w:top w:val="none" w:sz="0" w:space="0" w:color="auto"/>
        <w:left w:val="none" w:sz="0" w:space="0" w:color="auto"/>
        <w:bottom w:val="none" w:sz="0" w:space="0" w:color="auto"/>
        <w:right w:val="none" w:sz="0" w:space="0" w:color="auto"/>
      </w:divBdr>
    </w:div>
    <w:div w:id="223033369">
      <w:bodyDiv w:val="1"/>
      <w:marLeft w:val="0"/>
      <w:marRight w:val="0"/>
      <w:marTop w:val="0"/>
      <w:marBottom w:val="0"/>
      <w:divBdr>
        <w:top w:val="none" w:sz="0" w:space="0" w:color="auto"/>
        <w:left w:val="none" w:sz="0" w:space="0" w:color="auto"/>
        <w:bottom w:val="none" w:sz="0" w:space="0" w:color="auto"/>
        <w:right w:val="none" w:sz="0" w:space="0" w:color="auto"/>
      </w:divBdr>
    </w:div>
    <w:div w:id="236479847">
      <w:bodyDiv w:val="1"/>
      <w:marLeft w:val="0"/>
      <w:marRight w:val="0"/>
      <w:marTop w:val="0"/>
      <w:marBottom w:val="0"/>
      <w:divBdr>
        <w:top w:val="none" w:sz="0" w:space="0" w:color="auto"/>
        <w:left w:val="none" w:sz="0" w:space="0" w:color="auto"/>
        <w:bottom w:val="none" w:sz="0" w:space="0" w:color="auto"/>
        <w:right w:val="none" w:sz="0" w:space="0" w:color="auto"/>
      </w:divBdr>
    </w:div>
    <w:div w:id="254825140">
      <w:bodyDiv w:val="1"/>
      <w:marLeft w:val="0"/>
      <w:marRight w:val="0"/>
      <w:marTop w:val="0"/>
      <w:marBottom w:val="0"/>
      <w:divBdr>
        <w:top w:val="none" w:sz="0" w:space="0" w:color="auto"/>
        <w:left w:val="none" w:sz="0" w:space="0" w:color="auto"/>
        <w:bottom w:val="none" w:sz="0" w:space="0" w:color="auto"/>
        <w:right w:val="none" w:sz="0" w:space="0" w:color="auto"/>
      </w:divBdr>
      <w:divsChild>
        <w:div w:id="753208559">
          <w:marLeft w:val="0"/>
          <w:marRight w:val="0"/>
          <w:marTop w:val="0"/>
          <w:marBottom w:val="0"/>
          <w:divBdr>
            <w:top w:val="none" w:sz="0" w:space="0" w:color="auto"/>
            <w:left w:val="none" w:sz="0" w:space="0" w:color="auto"/>
            <w:bottom w:val="none" w:sz="0" w:space="0" w:color="auto"/>
            <w:right w:val="none" w:sz="0" w:space="0" w:color="auto"/>
          </w:divBdr>
        </w:div>
      </w:divsChild>
    </w:div>
    <w:div w:id="267473547">
      <w:bodyDiv w:val="1"/>
      <w:marLeft w:val="0"/>
      <w:marRight w:val="0"/>
      <w:marTop w:val="0"/>
      <w:marBottom w:val="0"/>
      <w:divBdr>
        <w:top w:val="none" w:sz="0" w:space="0" w:color="auto"/>
        <w:left w:val="none" w:sz="0" w:space="0" w:color="auto"/>
        <w:bottom w:val="none" w:sz="0" w:space="0" w:color="auto"/>
        <w:right w:val="none" w:sz="0" w:space="0" w:color="auto"/>
      </w:divBdr>
    </w:div>
    <w:div w:id="270941496">
      <w:bodyDiv w:val="1"/>
      <w:marLeft w:val="0"/>
      <w:marRight w:val="0"/>
      <w:marTop w:val="0"/>
      <w:marBottom w:val="0"/>
      <w:divBdr>
        <w:top w:val="none" w:sz="0" w:space="0" w:color="auto"/>
        <w:left w:val="none" w:sz="0" w:space="0" w:color="auto"/>
        <w:bottom w:val="none" w:sz="0" w:space="0" w:color="auto"/>
        <w:right w:val="none" w:sz="0" w:space="0" w:color="auto"/>
      </w:divBdr>
    </w:div>
    <w:div w:id="287202637">
      <w:bodyDiv w:val="1"/>
      <w:marLeft w:val="0"/>
      <w:marRight w:val="0"/>
      <w:marTop w:val="0"/>
      <w:marBottom w:val="0"/>
      <w:divBdr>
        <w:top w:val="none" w:sz="0" w:space="0" w:color="auto"/>
        <w:left w:val="none" w:sz="0" w:space="0" w:color="auto"/>
        <w:bottom w:val="none" w:sz="0" w:space="0" w:color="auto"/>
        <w:right w:val="none" w:sz="0" w:space="0" w:color="auto"/>
      </w:divBdr>
    </w:div>
    <w:div w:id="292489785">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07327796">
      <w:bodyDiv w:val="1"/>
      <w:marLeft w:val="0"/>
      <w:marRight w:val="0"/>
      <w:marTop w:val="0"/>
      <w:marBottom w:val="0"/>
      <w:divBdr>
        <w:top w:val="none" w:sz="0" w:space="0" w:color="auto"/>
        <w:left w:val="none" w:sz="0" w:space="0" w:color="auto"/>
        <w:bottom w:val="none" w:sz="0" w:space="0" w:color="auto"/>
        <w:right w:val="none" w:sz="0" w:space="0" w:color="auto"/>
      </w:divBdr>
    </w:div>
    <w:div w:id="320233291">
      <w:bodyDiv w:val="1"/>
      <w:marLeft w:val="0"/>
      <w:marRight w:val="0"/>
      <w:marTop w:val="0"/>
      <w:marBottom w:val="0"/>
      <w:divBdr>
        <w:top w:val="none" w:sz="0" w:space="0" w:color="auto"/>
        <w:left w:val="none" w:sz="0" w:space="0" w:color="auto"/>
        <w:bottom w:val="none" w:sz="0" w:space="0" w:color="auto"/>
        <w:right w:val="none" w:sz="0" w:space="0" w:color="auto"/>
      </w:divBdr>
    </w:div>
    <w:div w:id="32737143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41276197">
      <w:bodyDiv w:val="1"/>
      <w:marLeft w:val="0"/>
      <w:marRight w:val="0"/>
      <w:marTop w:val="0"/>
      <w:marBottom w:val="0"/>
      <w:divBdr>
        <w:top w:val="none" w:sz="0" w:space="0" w:color="auto"/>
        <w:left w:val="none" w:sz="0" w:space="0" w:color="auto"/>
        <w:bottom w:val="none" w:sz="0" w:space="0" w:color="auto"/>
        <w:right w:val="none" w:sz="0" w:space="0" w:color="auto"/>
      </w:divBdr>
    </w:div>
    <w:div w:id="377365944">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15518103">
      <w:bodyDiv w:val="1"/>
      <w:marLeft w:val="0"/>
      <w:marRight w:val="0"/>
      <w:marTop w:val="0"/>
      <w:marBottom w:val="0"/>
      <w:divBdr>
        <w:top w:val="none" w:sz="0" w:space="0" w:color="auto"/>
        <w:left w:val="none" w:sz="0" w:space="0" w:color="auto"/>
        <w:bottom w:val="none" w:sz="0" w:space="0" w:color="auto"/>
        <w:right w:val="none" w:sz="0" w:space="0" w:color="auto"/>
      </w:divBdr>
      <w:divsChild>
        <w:div w:id="528108793">
          <w:marLeft w:val="0"/>
          <w:marRight w:val="0"/>
          <w:marTop w:val="0"/>
          <w:marBottom w:val="0"/>
          <w:divBdr>
            <w:top w:val="none" w:sz="0" w:space="0" w:color="auto"/>
            <w:left w:val="none" w:sz="0" w:space="0" w:color="auto"/>
            <w:bottom w:val="none" w:sz="0" w:space="0" w:color="auto"/>
            <w:right w:val="none" w:sz="0" w:space="0" w:color="auto"/>
          </w:divBdr>
          <w:divsChild>
            <w:div w:id="261911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615064">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47504415">
      <w:bodyDiv w:val="1"/>
      <w:marLeft w:val="0"/>
      <w:marRight w:val="0"/>
      <w:marTop w:val="0"/>
      <w:marBottom w:val="0"/>
      <w:divBdr>
        <w:top w:val="none" w:sz="0" w:space="0" w:color="auto"/>
        <w:left w:val="none" w:sz="0" w:space="0" w:color="auto"/>
        <w:bottom w:val="none" w:sz="0" w:space="0" w:color="auto"/>
        <w:right w:val="none" w:sz="0" w:space="0" w:color="auto"/>
      </w:divBdr>
    </w:div>
    <w:div w:id="454257883">
      <w:bodyDiv w:val="1"/>
      <w:marLeft w:val="0"/>
      <w:marRight w:val="0"/>
      <w:marTop w:val="0"/>
      <w:marBottom w:val="0"/>
      <w:divBdr>
        <w:top w:val="none" w:sz="0" w:space="0" w:color="auto"/>
        <w:left w:val="none" w:sz="0" w:space="0" w:color="auto"/>
        <w:bottom w:val="none" w:sz="0" w:space="0" w:color="auto"/>
        <w:right w:val="none" w:sz="0" w:space="0" w:color="auto"/>
      </w:divBdr>
    </w:div>
    <w:div w:id="455567882">
      <w:bodyDiv w:val="1"/>
      <w:marLeft w:val="0"/>
      <w:marRight w:val="0"/>
      <w:marTop w:val="0"/>
      <w:marBottom w:val="0"/>
      <w:divBdr>
        <w:top w:val="none" w:sz="0" w:space="0" w:color="auto"/>
        <w:left w:val="none" w:sz="0" w:space="0" w:color="auto"/>
        <w:bottom w:val="none" w:sz="0" w:space="0" w:color="auto"/>
        <w:right w:val="none" w:sz="0" w:space="0" w:color="auto"/>
      </w:divBdr>
    </w:div>
    <w:div w:id="476800247">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3203264">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89448651">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3131978">
      <w:bodyDiv w:val="1"/>
      <w:marLeft w:val="0"/>
      <w:marRight w:val="0"/>
      <w:marTop w:val="0"/>
      <w:marBottom w:val="0"/>
      <w:divBdr>
        <w:top w:val="none" w:sz="0" w:space="0" w:color="auto"/>
        <w:left w:val="none" w:sz="0" w:space="0" w:color="auto"/>
        <w:bottom w:val="none" w:sz="0" w:space="0" w:color="auto"/>
        <w:right w:val="none" w:sz="0" w:space="0" w:color="auto"/>
      </w:divBdr>
    </w:div>
    <w:div w:id="505831664">
      <w:bodyDiv w:val="1"/>
      <w:marLeft w:val="0"/>
      <w:marRight w:val="0"/>
      <w:marTop w:val="0"/>
      <w:marBottom w:val="0"/>
      <w:divBdr>
        <w:top w:val="none" w:sz="0" w:space="0" w:color="auto"/>
        <w:left w:val="none" w:sz="0" w:space="0" w:color="auto"/>
        <w:bottom w:val="none" w:sz="0" w:space="0" w:color="auto"/>
        <w:right w:val="none" w:sz="0" w:space="0" w:color="auto"/>
      </w:divBdr>
    </w:div>
    <w:div w:id="513148613">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5049622">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600644386">
      <w:bodyDiv w:val="1"/>
      <w:marLeft w:val="0"/>
      <w:marRight w:val="0"/>
      <w:marTop w:val="0"/>
      <w:marBottom w:val="0"/>
      <w:divBdr>
        <w:top w:val="none" w:sz="0" w:space="0" w:color="auto"/>
        <w:left w:val="none" w:sz="0" w:space="0" w:color="auto"/>
        <w:bottom w:val="none" w:sz="0" w:space="0" w:color="auto"/>
        <w:right w:val="none" w:sz="0" w:space="0" w:color="auto"/>
      </w:divBdr>
    </w:div>
    <w:div w:id="605622265">
      <w:bodyDiv w:val="1"/>
      <w:marLeft w:val="0"/>
      <w:marRight w:val="0"/>
      <w:marTop w:val="0"/>
      <w:marBottom w:val="0"/>
      <w:divBdr>
        <w:top w:val="none" w:sz="0" w:space="0" w:color="auto"/>
        <w:left w:val="none" w:sz="0" w:space="0" w:color="auto"/>
        <w:bottom w:val="none" w:sz="0" w:space="0" w:color="auto"/>
        <w:right w:val="none" w:sz="0" w:space="0" w:color="auto"/>
      </w:divBdr>
    </w:div>
    <w:div w:id="606162589">
      <w:bodyDiv w:val="1"/>
      <w:marLeft w:val="0"/>
      <w:marRight w:val="0"/>
      <w:marTop w:val="0"/>
      <w:marBottom w:val="0"/>
      <w:divBdr>
        <w:top w:val="none" w:sz="0" w:space="0" w:color="auto"/>
        <w:left w:val="none" w:sz="0" w:space="0" w:color="auto"/>
        <w:bottom w:val="none" w:sz="0" w:space="0" w:color="auto"/>
        <w:right w:val="none" w:sz="0" w:space="0" w:color="auto"/>
      </w:divBdr>
    </w:div>
    <w:div w:id="610432844">
      <w:bodyDiv w:val="1"/>
      <w:marLeft w:val="0"/>
      <w:marRight w:val="0"/>
      <w:marTop w:val="0"/>
      <w:marBottom w:val="0"/>
      <w:divBdr>
        <w:top w:val="none" w:sz="0" w:space="0" w:color="auto"/>
        <w:left w:val="none" w:sz="0" w:space="0" w:color="auto"/>
        <w:bottom w:val="none" w:sz="0" w:space="0" w:color="auto"/>
        <w:right w:val="none" w:sz="0" w:space="0" w:color="auto"/>
      </w:divBdr>
    </w:div>
    <w:div w:id="617221102">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34263206">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8771306">
      <w:bodyDiv w:val="1"/>
      <w:marLeft w:val="0"/>
      <w:marRight w:val="0"/>
      <w:marTop w:val="0"/>
      <w:marBottom w:val="0"/>
      <w:divBdr>
        <w:top w:val="none" w:sz="0" w:space="0" w:color="auto"/>
        <w:left w:val="none" w:sz="0" w:space="0" w:color="auto"/>
        <w:bottom w:val="none" w:sz="0" w:space="0" w:color="auto"/>
        <w:right w:val="none" w:sz="0" w:space="0" w:color="auto"/>
      </w:divBdr>
    </w:div>
    <w:div w:id="683242605">
      <w:bodyDiv w:val="1"/>
      <w:marLeft w:val="0"/>
      <w:marRight w:val="0"/>
      <w:marTop w:val="0"/>
      <w:marBottom w:val="0"/>
      <w:divBdr>
        <w:top w:val="none" w:sz="0" w:space="0" w:color="auto"/>
        <w:left w:val="none" w:sz="0" w:space="0" w:color="auto"/>
        <w:bottom w:val="none" w:sz="0" w:space="0" w:color="auto"/>
        <w:right w:val="none" w:sz="0" w:space="0" w:color="auto"/>
      </w:divBdr>
    </w:div>
    <w:div w:id="699234973">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21951470">
      <w:bodyDiv w:val="1"/>
      <w:marLeft w:val="0"/>
      <w:marRight w:val="0"/>
      <w:marTop w:val="0"/>
      <w:marBottom w:val="0"/>
      <w:divBdr>
        <w:top w:val="none" w:sz="0" w:space="0" w:color="auto"/>
        <w:left w:val="none" w:sz="0" w:space="0" w:color="auto"/>
        <w:bottom w:val="none" w:sz="0" w:space="0" w:color="auto"/>
        <w:right w:val="none" w:sz="0" w:space="0" w:color="auto"/>
      </w:divBdr>
    </w:div>
    <w:div w:id="722752729">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39791024">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44643499">
      <w:bodyDiv w:val="1"/>
      <w:marLeft w:val="0"/>
      <w:marRight w:val="0"/>
      <w:marTop w:val="0"/>
      <w:marBottom w:val="0"/>
      <w:divBdr>
        <w:top w:val="none" w:sz="0" w:space="0" w:color="auto"/>
        <w:left w:val="none" w:sz="0" w:space="0" w:color="auto"/>
        <w:bottom w:val="none" w:sz="0" w:space="0" w:color="auto"/>
        <w:right w:val="none" w:sz="0" w:space="0" w:color="auto"/>
      </w:divBdr>
    </w:div>
    <w:div w:id="748846507">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09131117">
      <w:bodyDiv w:val="1"/>
      <w:marLeft w:val="0"/>
      <w:marRight w:val="0"/>
      <w:marTop w:val="0"/>
      <w:marBottom w:val="0"/>
      <w:divBdr>
        <w:top w:val="none" w:sz="0" w:space="0" w:color="auto"/>
        <w:left w:val="none" w:sz="0" w:space="0" w:color="auto"/>
        <w:bottom w:val="none" w:sz="0" w:space="0" w:color="auto"/>
        <w:right w:val="none" w:sz="0" w:space="0" w:color="auto"/>
      </w:divBdr>
    </w:div>
    <w:div w:id="810177168">
      <w:bodyDiv w:val="1"/>
      <w:marLeft w:val="0"/>
      <w:marRight w:val="0"/>
      <w:marTop w:val="0"/>
      <w:marBottom w:val="0"/>
      <w:divBdr>
        <w:top w:val="none" w:sz="0" w:space="0" w:color="auto"/>
        <w:left w:val="none" w:sz="0" w:space="0" w:color="auto"/>
        <w:bottom w:val="none" w:sz="0" w:space="0" w:color="auto"/>
        <w:right w:val="none" w:sz="0" w:space="0" w:color="auto"/>
      </w:divBdr>
    </w:div>
    <w:div w:id="8135207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60780645">
      <w:bodyDiv w:val="1"/>
      <w:marLeft w:val="0"/>
      <w:marRight w:val="0"/>
      <w:marTop w:val="0"/>
      <w:marBottom w:val="0"/>
      <w:divBdr>
        <w:top w:val="none" w:sz="0" w:space="0" w:color="auto"/>
        <w:left w:val="none" w:sz="0" w:space="0" w:color="auto"/>
        <w:bottom w:val="none" w:sz="0" w:space="0" w:color="auto"/>
        <w:right w:val="none" w:sz="0" w:space="0" w:color="auto"/>
      </w:divBdr>
    </w:div>
    <w:div w:id="875311129">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7593893">
      <w:bodyDiv w:val="1"/>
      <w:marLeft w:val="0"/>
      <w:marRight w:val="0"/>
      <w:marTop w:val="0"/>
      <w:marBottom w:val="0"/>
      <w:divBdr>
        <w:top w:val="none" w:sz="0" w:space="0" w:color="auto"/>
        <w:left w:val="none" w:sz="0" w:space="0" w:color="auto"/>
        <w:bottom w:val="none" w:sz="0" w:space="0" w:color="auto"/>
        <w:right w:val="none" w:sz="0" w:space="0" w:color="auto"/>
      </w:divBdr>
      <w:divsChild>
        <w:div w:id="1007026888">
          <w:marLeft w:val="0"/>
          <w:marRight w:val="0"/>
          <w:marTop w:val="0"/>
          <w:marBottom w:val="0"/>
          <w:divBdr>
            <w:top w:val="none" w:sz="0" w:space="0" w:color="auto"/>
            <w:left w:val="none" w:sz="0" w:space="0" w:color="auto"/>
            <w:bottom w:val="none" w:sz="0" w:space="0" w:color="auto"/>
            <w:right w:val="none" w:sz="0" w:space="0" w:color="auto"/>
          </w:divBdr>
        </w:div>
      </w:divsChild>
    </w:div>
    <w:div w:id="901989460">
      <w:bodyDiv w:val="1"/>
      <w:marLeft w:val="0"/>
      <w:marRight w:val="0"/>
      <w:marTop w:val="0"/>
      <w:marBottom w:val="0"/>
      <w:divBdr>
        <w:top w:val="none" w:sz="0" w:space="0" w:color="auto"/>
        <w:left w:val="none" w:sz="0" w:space="0" w:color="auto"/>
        <w:bottom w:val="none" w:sz="0" w:space="0" w:color="auto"/>
        <w:right w:val="none" w:sz="0" w:space="0" w:color="auto"/>
      </w:divBdr>
    </w:div>
    <w:div w:id="939026299">
      <w:bodyDiv w:val="1"/>
      <w:marLeft w:val="0"/>
      <w:marRight w:val="0"/>
      <w:marTop w:val="0"/>
      <w:marBottom w:val="0"/>
      <w:divBdr>
        <w:top w:val="none" w:sz="0" w:space="0" w:color="auto"/>
        <w:left w:val="none" w:sz="0" w:space="0" w:color="auto"/>
        <w:bottom w:val="none" w:sz="0" w:space="0" w:color="auto"/>
        <w:right w:val="none" w:sz="0" w:space="0" w:color="auto"/>
      </w:divBdr>
      <w:divsChild>
        <w:div w:id="922684238">
          <w:marLeft w:val="0"/>
          <w:marRight w:val="0"/>
          <w:marTop w:val="300"/>
          <w:marBottom w:val="0"/>
          <w:divBdr>
            <w:top w:val="none" w:sz="0" w:space="0" w:color="auto"/>
            <w:left w:val="none" w:sz="0" w:space="0" w:color="auto"/>
            <w:bottom w:val="none" w:sz="0" w:space="0" w:color="auto"/>
            <w:right w:val="none" w:sz="0" w:space="0" w:color="auto"/>
          </w:divBdr>
        </w:div>
      </w:divsChild>
    </w:div>
    <w:div w:id="952398848">
      <w:bodyDiv w:val="1"/>
      <w:marLeft w:val="0"/>
      <w:marRight w:val="0"/>
      <w:marTop w:val="0"/>
      <w:marBottom w:val="0"/>
      <w:divBdr>
        <w:top w:val="none" w:sz="0" w:space="0" w:color="auto"/>
        <w:left w:val="none" w:sz="0" w:space="0" w:color="auto"/>
        <w:bottom w:val="none" w:sz="0" w:space="0" w:color="auto"/>
        <w:right w:val="none" w:sz="0" w:space="0" w:color="auto"/>
      </w:divBdr>
    </w:div>
    <w:div w:id="964698780">
      <w:bodyDiv w:val="1"/>
      <w:marLeft w:val="0"/>
      <w:marRight w:val="0"/>
      <w:marTop w:val="0"/>
      <w:marBottom w:val="0"/>
      <w:divBdr>
        <w:top w:val="none" w:sz="0" w:space="0" w:color="auto"/>
        <w:left w:val="none" w:sz="0" w:space="0" w:color="auto"/>
        <w:bottom w:val="none" w:sz="0" w:space="0" w:color="auto"/>
        <w:right w:val="none" w:sz="0" w:space="0" w:color="auto"/>
      </w:divBdr>
    </w:div>
    <w:div w:id="984505240">
      <w:bodyDiv w:val="1"/>
      <w:marLeft w:val="0"/>
      <w:marRight w:val="0"/>
      <w:marTop w:val="0"/>
      <w:marBottom w:val="0"/>
      <w:divBdr>
        <w:top w:val="none" w:sz="0" w:space="0" w:color="auto"/>
        <w:left w:val="none" w:sz="0" w:space="0" w:color="auto"/>
        <w:bottom w:val="none" w:sz="0" w:space="0" w:color="auto"/>
        <w:right w:val="none" w:sz="0" w:space="0" w:color="auto"/>
      </w:divBdr>
    </w:div>
    <w:div w:id="1000079392">
      <w:bodyDiv w:val="1"/>
      <w:marLeft w:val="0"/>
      <w:marRight w:val="0"/>
      <w:marTop w:val="0"/>
      <w:marBottom w:val="0"/>
      <w:divBdr>
        <w:top w:val="none" w:sz="0" w:space="0" w:color="auto"/>
        <w:left w:val="none" w:sz="0" w:space="0" w:color="auto"/>
        <w:bottom w:val="none" w:sz="0" w:space="0" w:color="auto"/>
        <w:right w:val="none" w:sz="0" w:space="0" w:color="auto"/>
      </w:divBdr>
    </w:div>
    <w:div w:id="1033770214">
      <w:bodyDiv w:val="1"/>
      <w:marLeft w:val="0"/>
      <w:marRight w:val="0"/>
      <w:marTop w:val="0"/>
      <w:marBottom w:val="0"/>
      <w:divBdr>
        <w:top w:val="none" w:sz="0" w:space="0" w:color="auto"/>
        <w:left w:val="none" w:sz="0" w:space="0" w:color="auto"/>
        <w:bottom w:val="none" w:sz="0" w:space="0" w:color="auto"/>
        <w:right w:val="none" w:sz="0" w:space="0" w:color="auto"/>
      </w:divBdr>
    </w:div>
    <w:div w:id="1035885870">
      <w:bodyDiv w:val="1"/>
      <w:marLeft w:val="0"/>
      <w:marRight w:val="0"/>
      <w:marTop w:val="0"/>
      <w:marBottom w:val="0"/>
      <w:divBdr>
        <w:top w:val="none" w:sz="0" w:space="0" w:color="auto"/>
        <w:left w:val="none" w:sz="0" w:space="0" w:color="auto"/>
        <w:bottom w:val="none" w:sz="0" w:space="0" w:color="auto"/>
        <w:right w:val="none" w:sz="0" w:space="0" w:color="auto"/>
      </w:divBdr>
      <w:divsChild>
        <w:div w:id="1200430907">
          <w:marLeft w:val="0"/>
          <w:marRight w:val="0"/>
          <w:marTop w:val="0"/>
          <w:marBottom w:val="0"/>
          <w:divBdr>
            <w:top w:val="none" w:sz="0" w:space="0" w:color="000000"/>
            <w:left w:val="none" w:sz="0" w:space="0" w:color="000000"/>
            <w:bottom w:val="single" w:sz="24" w:space="0" w:color="000000"/>
            <w:right w:val="none" w:sz="0" w:space="0" w:color="000000"/>
          </w:divBdr>
          <w:divsChild>
            <w:div w:id="172032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675058">
      <w:bodyDiv w:val="1"/>
      <w:marLeft w:val="0"/>
      <w:marRight w:val="0"/>
      <w:marTop w:val="0"/>
      <w:marBottom w:val="0"/>
      <w:divBdr>
        <w:top w:val="none" w:sz="0" w:space="0" w:color="auto"/>
        <w:left w:val="none" w:sz="0" w:space="0" w:color="auto"/>
        <w:bottom w:val="none" w:sz="0" w:space="0" w:color="auto"/>
        <w:right w:val="none" w:sz="0" w:space="0" w:color="auto"/>
      </w:divBdr>
    </w:div>
    <w:div w:id="1049652654">
      <w:bodyDiv w:val="1"/>
      <w:marLeft w:val="0"/>
      <w:marRight w:val="0"/>
      <w:marTop w:val="0"/>
      <w:marBottom w:val="0"/>
      <w:divBdr>
        <w:top w:val="none" w:sz="0" w:space="0" w:color="auto"/>
        <w:left w:val="none" w:sz="0" w:space="0" w:color="auto"/>
        <w:bottom w:val="none" w:sz="0" w:space="0" w:color="auto"/>
        <w:right w:val="none" w:sz="0" w:space="0" w:color="auto"/>
      </w:divBdr>
    </w:div>
    <w:div w:id="1052729099">
      <w:bodyDiv w:val="1"/>
      <w:marLeft w:val="0"/>
      <w:marRight w:val="0"/>
      <w:marTop w:val="0"/>
      <w:marBottom w:val="0"/>
      <w:divBdr>
        <w:top w:val="none" w:sz="0" w:space="0" w:color="auto"/>
        <w:left w:val="none" w:sz="0" w:space="0" w:color="auto"/>
        <w:bottom w:val="none" w:sz="0" w:space="0" w:color="auto"/>
        <w:right w:val="none" w:sz="0" w:space="0" w:color="auto"/>
      </w:divBdr>
    </w:div>
    <w:div w:id="1056273481">
      <w:bodyDiv w:val="1"/>
      <w:marLeft w:val="0"/>
      <w:marRight w:val="0"/>
      <w:marTop w:val="0"/>
      <w:marBottom w:val="0"/>
      <w:divBdr>
        <w:top w:val="none" w:sz="0" w:space="0" w:color="auto"/>
        <w:left w:val="none" w:sz="0" w:space="0" w:color="auto"/>
        <w:bottom w:val="none" w:sz="0" w:space="0" w:color="auto"/>
        <w:right w:val="none" w:sz="0" w:space="0" w:color="auto"/>
      </w:divBdr>
    </w:div>
    <w:div w:id="1065690512">
      <w:bodyDiv w:val="1"/>
      <w:marLeft w:val="0"/>
      <w:marRight w:val="0"/>
      <w:marTop w:val="0"/>
      <w:marBottom w:val="0"/>
      <w:divBdr>
        <w:top w:val="none" w:sz="0" w:space="0" w:color="auto"/>
        <w:left w:val="none" w:sz="0" w:space="0" w:color="auto"/>
        <w:bottom w:val="none" w:sz="0" w:space="0" w:color="auto"/>
        <w:right w:val="none" w:sz="0" w:space="0" w:color="auto"/>
      </w:divBdr>
    </w:div>
    <w:div w:id="107265332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5810046">
      <w:bodyDiv w:val="1"/>
      <w:marLeft w:val="0"/>
      <w:marRight w:val="0"/>
      <w:marTop w:val="0"/>
      <w:marBottom w:val="0"/>
      <w:divBdr>
        <w:top w:val="none" w:sz="0" w:space="0" w:color="auto"/>
        <w:left w:val="none" w:sz="0" w:space="0" w:color="auto"/>
        <w:bottom w:val="none" w:sz="0" w:space="0" w:color="auto"/>
        <w:right w:val="none" w:sz="0" w:space="0" w:color="auto"/>
      </w:divBdr>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098715564">
      <w:bodyDiv w:val="1"/>
      <w:marLeft w:val="0"/>
      <w:marRight w:val="0"/>
      <w:marTop w:val="0"/>
      <w:marBottom w:val="0"/>
      <w:divBdr>
        <w:top w:val="none" w:sz="0" w:space="0" w:color="auto"/>
        <w:left w:val="none" w:sz="0" w:space="0" w:color="auto"/>
        <w:bottom w:val="none" w:sz="0" w:space="0" w:color="auto"/>
        <w:right w:val="none" w:sz="0" w:space="0" w:color="auto"/>
      </w:divBdr>
    </w:div>
    <w:div w:id="1108812615">
      <w:bodyDiv w:val="1"/>
      <w:marLeft w:val="0"/>
      <w:marRight w:val="0"/>
      <w:marTop w:val="0"/>
      <w:marBottom w:val="0"/>
      <w:divBdr>
        <w:top w:val="none" w:sz="0" w:space="0" w:color="auto"/>
        <w:left w:val="none" w:sz="0" w:space="0" w:color="auto"/>
        <w:bottom w:val="none" w:sz="0" w:space="0" w:color="auto"/>
        <w:right w:val="none" w:sz="0" w:space="0" w:color="auto"/>
      </w:divBdr>
    </w:div>
    <w:div w:id="1144005567">
      <w:bodyDiv w:val="1"/>
      <w:marLeft w:val="0"/>
      <w:marRight w:val="0"/>
      <w:marTop w:val="0"/>
      <w:marBottom w:val="0"/>
      <w:divBdr>
        <w:top w:val="none" w:sz="0" w:space="0" w:color="auto"/>
        <w:left w:val="none" w:sz="0" w:space="0" w:color="auto"/>
        <w:bottom w:val="none" w:sz="0" w:space="0" w:color="auto"/>
        <w:right w:val="none" w:sz="0" w:space="0" w:color="auto"/>
      </w:divBdr>
    </w:div>
    <w:div w:id="1164588963">
      <w:bodyDiv w:val="1"/>
      <w:marLeft w:val="0"/>
      <w:marRight w:val="0"/>
      <w:marTop w:val="0"/>
      <w:marBottom w:val="0"/>
      <w:divBdr>
        <w:top w:val="none" w:sz="0" w:space="0" w:color="auto"/>
        <w:left w:val="none" w:sz="0" w:space="0" w:color="auto"/>
        <w:bottom w:val="none" w:sz="0" w:space="0" w:color="auto"/>
        <w:right w:val="none" w:sz="0" w:space="0" w:color="auto"/>
      </w:divBdr>
      <w:divsChild>
        <w:div w:id="977415502">
          <w:marLeft w:val="150"/>
          <w:marRight w:val="150"/>
          <w:marTop w:val="150"/>
          <w:marBottom w:val="150"/>
          <w:divBdr>
            <w:top w:val="none" w:sz="0" w:space="0" w:color="auto"/>
            <w:left w:val="none" w:sz="0" w:space="0" w:color="auto"/>
            <w:bottom w:val="none" w:sz="0" w:space="0" w:color="auto"/>
            <w:right w:val="none" w:sz="0" w:space="0" w:color="auto"/>
          </w:divBdr>
        </w:div>
      </w:divsChild>
    </w:div>
    <w:div w:id="1193692002">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08033107">
      <w:bodyDiv w:val="1"/>
      <w:marLeft w:val="0"/>
      <w:marRight w:val="0"/>
      <w:marTop w:val="0"/>
      <w:marBottom w:val="0"/>
      <w:divBdr>
        <w:top w:val="none" w:sz="0" w:space="0" w:color="auto"/>
        <w:left w:val="none" w:sz="0" w:space="0" w:color="auto"/>
        <w:bottom w:val="none" w:sz="0" w:space="0" w:color="auto"/>
        <w:right w:val="none" w:sz="0" w:space="0" w:color="auto"/>
      </w:divBdr>
    </w:div>
    <w:div w:id="1218586249">
      <w:bodyDiv w:val="1"/>
      <w:marLeft w:val="0"/>
      <w:marRight w:val="0"/>
      <w:marTop w:val="0"/>
      <w:marBottom w:val="0"/>
      <w:divBdr>
        <w:top w:val="none" w:sz="0" w:space="0" w:color="auto"/>
        <w:left w:val="none" w:sz="0" w:space="0" w:color="auto"/>
        <w:bottom w:val="none" w:sz="0" w:space="0" w:color="auto"/>
        <w:right w:val="none" w:sz="0" w:space="0" w:color="auto"/>
      </w:divBdr>
    </w:div>
    <w:div w:id="1236863571">
      <w:bodyDiv w:val="1"/>
      <w:marLeft w:val="0"/>
      <w:marRight w:val="0"/>
      <w:marTop w:val="0"/>
      <w:marBottom w:val="0"/>
      <w:divBdr>
        <w:top w:val="none" w:sz="0" w:space="0" w:color="auto"/>
        <w:left w:val="none" w:sz="0" w:space="0" w:color="auto"/>
        <w:bottom w:val="none" w:sz="0" w:space="0" w:color="auto"/>
        <w:right w:val="none" w:sz="0" w:space="0" w:color="auto"/>
      </w:divBdr>
    </w:div>
    <w:div w:id="1306470646">
      <w:bodyDiv w:val="1"/>
      <w:marLeft w:val="0"/>
      <w:marRight w:val="0"/>
      <w:marTop w:val="0"/>
      <w:marBottom w:val="0"/>
      <w:divBdr>
        <w:top w:val="none" w:sz="0" w:space="0" w:color="auto"/>
        <w:left w:val="none" w:sz="0" w:space="0" w:color="auto"/>
        <w:bottom w:val="none" w:sz="0" w:space="0" w:color="auto"/>
        <w:right w:val="none" w:sz="0" w:space="0" w:color="auto"/>
      </w:divBdr>
    </w:div>
    <w:div w:id="1314791550">
      <w:bodyDiv w:val="1"/>
      <w:marLeft w:val="0"/>
      <w:marRight w:val="0"/>
      <w:marTop w:val="0"/>
      <w:marBottom w:val="0"/>
      <w:divBdr>
        <w:top w:val="none" w:sz="0" w:space="0" w:color="auto"/>
        <w:left w:val="none" w:sz="0" w:space="0" w:color="auto"/>
        <w:bottom w:val="none" w:sz="0" w:space="0" w:color="auto"/>
        <w:right w:val="none" w:sz="0" w:space="0" w:color="auto"/>
      </w:divBdr>
    </w:div>
    <w:div w:id="1322855181">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2509092">
      <w:bodyDiv w:val="1"/>
      <w:marLeft w:val="0"/>
      <w:marRight w:val="0"/>
      <w:marTop w:val="0"/>
      <w:marBottom w:val="0"/>
      <w:divBdr>
        <w:top w:val="none" w:sz="0" w:space="0" w:color="auto"/>
        <w:left w:val="none" w:sz="0" w:space="0" w:color="auto"/>
        <w:bottom w:val="none" w:sz="0" w:space="0" w:color="auto"/>
        <w:right w:val="none" w:sz="0" w:space="0" w:color="auto"/>
      </w:divBdr>
    </w:div>
    <w:div w:id="1394813280">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397626590">
      <w:bodyDiv w:val="1"/>
      <w:marLeft w:val="0"/>
      <w:marRight w:val="0"/>
      <w:marTop w:val="0"/>
      <w:marBottom w:val="0"/>
      <w:divBdr>
        <w:top w:val="none" w:sz="0" w:space="0" w:color="auto"/>
        <w:left w:val="none" w:sz="0" w:space="0" w:color="auto"/>
        <w:bottom w:val="none" w:sz="0" w:space="0" w:color="auto"/>
        <w:right w:val="none" w:sz="0" w:space="0" w:color="auto"/>
      </w:divBdr>
      <w:divsChild>
        <w:div w:id="640188324">
          <w:marLeft w:val="0"/>
          <w:marRight w:val="0"/>
          <w:marTop w:val="0"/>
          <w:marBottom w:val="0"/>
          <w:divBdr>
            <w:top w:val="none" w:sz="0" w:space="0" w:color="auto"/>
            <w:left w:val="none" w:sz="0" w:space="0" w:color="auto"/>
            <w:bottom w:val="none" w:sz="0" w:space="0" w:color="auto"/>
            <w:right w:val="none" w:sz="0" w:space="0" w:color="auto"/>
          </w:divBdr>
          <w:divsChild>
            <w:div w:id="2125726090">
              <w:marLeft w:val="0"/>
              <w:marRight w:val="0"/>
              <w:marTop w:val="0"/>
              <w:marBottom w:val="300"/>
              <w:divBdr>
                <w:top w:val="none" w:sz="0" w:space="0" w:color="auto"/>
                <w:left w:val="none" w:sz="0" w:space="0" w:color="auto"/>
                <w:bottom w:val="none" w:sz="0" w:space="0" w:color="auto"/>
                <w:right w:val="none" w:sz="0" w:space="0" w:color="auto"/>
              </w:divBdr>
              <w:divsChild>
                <w:div w:id="787701490">
                  <w:marLeft w:val="0"/>
                  <w:marRight w:val="0"/>
                  <w:marTop w:val="0"/>
                  <w:marBottom w:val="0"/>
                  <w:divBdr>
                    <w:top w:val="none" w:sz="0" w:space="0" w:color="auto"/>
                    <w:left w:val="none" w:sz="0" w:space="0" w:color="auto"/>
                    <w:bottom w:val="none" w:sz="0" w:space="0" w:color="auto"/>
                    <w:right w:val="none" w:sz="0" w:space="0" w:color="auto"/>
                  </w:divBdr>
                  <w:divsChild>
                    <w:div w:id="142383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7629963">
      <w:bodyDiv w:val="1"/>
      <w:marLeft w:val="0"/>
      <w:marRight w:val="0"/>
      <w:marTop w:val="0"/>
      <w:marBottom w:val="0"/>
      <w:divBdr>
        <w:top w:val="none" w:sz="0" w:space="0" w:color="auto"/>
        <w:left w:val="none" w:sz="0" w:space="0" w:color="auto"/>
        <w:bottom w:val="none" w:sz="0" w:space="0" w:color="auto"/>
        <w:right w:val="none" w:sz="0" w:space="0" w:color="auto"/>
      </w:divBdr>
    </w:div>
    <w:div w:id="1414358318">
      <w:bodyDiv w:val="1"/>
      <w:marLeft w:val="0"/>
      <w:marRight w:val="0"/>
      <w:marTop w:val="0"/>
      <w:marBottom w:val="0"/>
      <w:divBdr>
        <w:top w:val="none" w:sz="0" w:space="0" w:color="auto"/>
        <w:left w:val="none" w:sz="0" w:space="0" w:color="auto"/>
        <w:bottom w:val="none" w:sz="0" w:space="0" w:color="auto"/>
        <w:right w:val="none" w:sz="0" w:space="0" w:color="auto"/>
      </w:divBdr>
    </w:div>
    <w:div w:id="1435594010">
      <w:bodyDiv w:val="1"/>
      <w:marLeft w:val="0"/>
      <w:marRight w:val="0"/>
      <w:marTop w:val="0"/>
      <w:marBottom w:val="0"/>
      <w:divBdr>
        <w:top w:val="none" w:sz="0" w:space="0" w:color="auto"/>
        <w:left w:val="none" w:sz="0" w:space="0" w:color="auto"/>
        <w:bottom w:val="none" w:sz="0" w:space="0" w:color="auto"/>
        <w:right w:val="none" w:sz="0" w:space="0" w:color="auto"/>
      </w:divBdr>
    </w:div>
    <w:div w:id="143867742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0513813">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1775761">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1527600">
      <w:bodyDiv w:val="1"/>
      <w:marLeft w:val="0"/>
      <w:marRight w:val="0"/>
      <w:marTop w:val="0"/>
      <w:marBottom w:val="0"/>
      <w:divBdr>
        <w:top w:val="none" w:sz="0" w:space="0" w:color="auto"/>
        <w:left w:val="none" w:sz="0" w:space="0" w:color="auto"/>
        <w:bottom w:val="none" w:sz="0" w:space="0" w:color="auto"/>
        <w:right w:val="none" w:sz="0" w:space="0" w:color="auto"/>
      </w:divBdr>
    </w:div>
    <w:div w:id="1515413713">
      <w:bodyDiv w:val="1"/>
      <w:marLeft w:val="0"/>
      <w:marRight w:val="0"/>
      <w:marTop w:val="0"/>
      <w:marBottom w:val="0"/>
      <w:divBdr>
        <w:top w:val="none" w:sz="0" w:space="0" w:color="auto"/>
        <w:left w:val="none" w:sz="0" w:space="0" w:color="auto"/>
        <w:bottom w:val="none" w:sz="0" w:space="0" w:color="auto"/>
        <w:right w:val="none" w:sz="0" w:space="0" w:color="auto"/>
      </w:divBdr>
    </w:div>
    <w:div w:id="1516769339">
      <w:bodyDiv w:val="1"/>
      <w:marLeft w:val="0"/>
      <w:marRight w:val="0"/>
      <w:marTop w:val="0"/>
      <w:marBottom w:val="0"/>
      <w:divBdr>
        <w:top w:val="none" w:sz="0" w:space="0" w:color="auto"/>
        <w:left w:val="none" w:sz="0" w:space="0" w:color="auto"/>
        <w:bottom w:val="none" w:sz="0" w:space="0" w:color="auto"/>
        <w:right w:val="none" w:sz="0" w:space="0" w:color="auto"/>
      </w:divBdr>
      <w:divsChild>
        <w:div w:id="1188177785">
          <w:marLeft w:val="0"/>
          <w:marRight w:val="0"/>
          <w:marTop w:val="0"/>
          <w:marBottom w:val="0"/>
          <w:divBdr>
            <w:top w:val="none" w:sz="0" w:space="0" w:color="auto"/>
            <w:left w:val="none" w:sz="0" w:space="0" w:color="auto"/>
            <w:bottom w:val="none" w:sz="0" w:space="0" w:color="auto"/>
            <w:right w:val="none" w:sz="0" w:space="0" w:color="auto"/>
          </w:divBdr>
          <w:divsChild>
            <w:div w:id="829370944">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74850222">
      <w:bodyDiv w:val="1"/>
      <w:marLeft w:val="0"/>
      <w:marRight w:val="0"/>
      <w:marTop w:val="0"/>
      <w:marBottom w:val="0"/>
      <w:divBdr>
        <w:top w:val="none" w:sz="0" w:space="0" w:color="auto"/>
        <w:left w:val="none" w:sz="0" w:space="0" w:color="auto"/>
        <w:bottom w:val="none" w:sz="0" w:space="0" w:color="auto"/>
        <w:right w:val="none" w:sz="0" w:space="0" w:color="auto"/>
      </w:divBdr>
    </w:div>
    <w:div w:id="1578369671">
      <w:bodyDiv w:val="1"/>
      <w:marLeft w:val="0"/>
      <w:marRight w:val="0"/>
      <w:marTop w:val="0"/>
      <w:marBottom w:val="0"/>
      <w:divBdr>
        <w:top w:val="none" w:sz="0" w:space="0" w:color="auto"/>
        <w:left w:val="none" w:sz="0" w:space="0" w:color="auto"/>
        <w:bottom w:val="none" w:sz="0" w:space="0" w:color="auto"/>
        <w:right w:val="none" w:sz="0" w:space="0" w:color="auto"/>
      </w:divBdr>
      <w:divsChild>
        <w:div w:id="1729723339">
          <w:marLeft w:val="0"/>
          <w:marRight w:val="0"/>
          <w:marTop w:val="0"/>
          <w:marBottom w:val="0"/>
          <w:divBdr>
            <w:top w:val="none" w:sz="0" w:space="0" w:color="auto"/>
            <w:left w:val="none" w:sz="0" w:space="0" w:color="auto"/>
            <w:bottom w:val="none" w:sz="0" w:space="0" w:color="auto"/>
            <w:right w:val="none" w:sz="0" w:space="0" w:color="auto"/>
          </w:divBdr>
        </w:div>
      </w:divsChild>
    </w:div>
    <w:div w:id="1579704496">
      <w:bodyDiv w:val="1"/>
      <w:marLeft w:val="0"/>
      <w:marRight w:val="0"/>
      <w:marTop w:val="0"/>
      <w:marBottom w:val="0"/>
      <w:divBdr>
        <w:top w:val="none" w:sz="0" w:space="0" w:color="auto"/>
        <w:left w:val="none" w:sz="0" w:space="0" w:color="auto"/>
        <w:bottom w:val="none" w:sz="0" w:space="0" w:color="auto"/>
        <w:right w:val="none" w:sz="0" w:space="0" w:color="auto"/>
      </w:divBdr>
    </w:div>
    <w:div w:id="1591964831">
      <w:bodyDiv w:val="1"/>
      <w:marLeft w:val="0"/>
      <w:marRight w:val="0"/>
      <w:marTop w:val="0"/>
      <w:marBottom w:val="0"/>
      <w:divBdr>
        <w:top w:val="none" w:sz="0" w:space="0" w:color="auto"/>
        <w:left w:val="none" w:sz="0" w:space="0" w:color="auto"/>
        <w:bottom w:val="none" w:sz="0" w:space="0" w:color="auto"/>
        <w:right w:val="none" w:sz="0" w:space="0" w:color="auto"/>
      </w:divBdr>
    </w:div>
    <w:div w:id="1594319039">
      <w:bodyDiv w:val="1"/>
      <w:marLeft w:val="0"/>
      <w:marRight w:val="0"/>
      <w:marTop w:val="0"/>
      <w:marBottom w:val="0"/>
      <w:divBdr>
        <w:top w:val="none" w:sz="0" w:space="0" w:color="auto"/>
        <w:left w:val="none" w:sz="0" w:space="0" w:color="auto"/>
        <w:bottom w:val="none" w:sz="0" w:space="0" w:color="auto"/>
        <w:right w:val="none" w:sz="0" w:space="0" w:color="auto"/>
      </w:divBdr>
      <w:divsChild>
        <w:div w:id="525946089">
          <w:marLeft w:val="0"/>
          <w:marRight w:val="0"/>
          <w:marTop w:val="0"/>
          <w:marBottom w:val="0"/>
          <w:divBdr>
            <w:top w:val="none" w:sz="0" w:space="0" w:color="auto"/>
            <w:left w:val="none" w:sz="0" w:space="0" w:color="auto"/>
            <w:bottom w:val="none" w:sz="0" w:space="0" w:color="auto"/>
            <w:right w:val="none" w:sz="0" w:space="0" w:color="auto"/>
          </w:divBdr>
        </w:div>
      </w:divsChild>
    </w:div>
    <w:div w:id="1594436778">
      <w:bodyDiv w:val="1"/>
      <w:marLeft w:val="0"/>
      <w:marRight w:val="0"/>
      <w:marTop w:val="0"/>
      <w:marBottom w:val="0"/>
      <w:divBdr>
        <w:top w:val="none" w:sz="0" w:space="0" w:color="auto"/>
        <w:left w:val="none" w:sz="0" w:space="0" w:color="auto"/>
        <w:bottom w:val="none" w:sz="0" w:space="0" w:color="auto"/>
        <w:right w:val="none" w:sz="0" w:space="0" w:color="auto"/>
      </w:divBdr>
    </w:div>
    <w:div w:id="1601791976">
      <w:bodyDiv w:val="1"/>
      <w:marLeft w:val="0"/>
      <w:marRight w:val="0"/>
      <w:marTop w:val="0"/>
      <w:marBottom w:val="0"/>
      <w:divBdr>
        <w:top w:val="none" w:sz="0" w:space="0" w:color="auto"/>
        <w:left w:val="none" w:sz="0" w:space="0" w:color="auto"/>
        <w:bottom w:val="none" w:sz="0" w:space="0" w:color="auto"/>
        <w:right w:val="none" w:sz="0" w:space="0" w:color="auto"/>
      </w:divBdr>
    </w:div>
    <w:div w:id="1621305008">
      <w:bodyDiv w:val="1"/>
      <w:marLeft w:val="0"/>
      <w:marRight w:val="0"/>
      <w:marTop w:val="0"/>
      <w:marBottom w:val="0"/>
      <w:divBdr>
        <w:top w:val="none" w:sz="0" w:space="0" w:color="auto"/>
        <w:left w:val="none" w:sz="0" w:space="0" w:color="auto"/>
        <w:bottom w:val="none" w:sz="0" w:space="0" w:color="auto"/>
        <w:right w:val="none" w:sz="0" w:space="0" w:color="auto"/>
      </w:divBdr>
    </w:div>
    <w:div w:id="1653026086">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7168670">
      <w:bodyDiv w:val="1"/>
      <w:marLeft w:val="0"/>
      <w:marRight w:val="0"/>
      <w:marTop w:val="0"/>
      <w:marBottom w:val="0"/>
      <w:divBdr>
        <w:top w:val="none" w:sz="0" w:space="0" w:color="auto"/>
        <w:left w:val="none" w:sz="0" w:space="0" w:color="auto"/>
        <w:bottom w:val="none" w:sz="0" w:space="0" w:color="auto"/>
        <w:right w:val="none" w:sz="0" w:space="0" w:color="auto"/>
      </w:divBdr>
    </w:div>
    <w:div w:id="1727992025">
      <w:bodyDiv w:val="1"/>
      <w:marLeft w:val="0"/>
      <w:marRight w:val="0"/>
      <w:marTop w:val="0"/>
      <w:marBottom w:val="0"/>
      <w:divBdr>
        <w:top w:val="none" w:sz="0" w:space="0" w:color="auto"/>
        <w:left w:val="none" w:sz="0" w:space="0" w:color="auto"/>
        <w:bottom w:val="none" w:sz="0" w:space="0" w:color="auto"/>
        <w:right w:val="none" w:sz="0" w:space="0" w:color="auto"/>
      </w:divBdr>
      <w:divsChild>
        <w:div w:id="2106414016">
          <w:marLeft w:val="0"/>
          <w:marRight w:val="0"/>
          <w:marTop w:val="0"/>
          <w:marBottom w:val="840"/>
          <w:divBdr>
            <w:top w:val="none" w:sz="0" w:space="0" w:color="auto"/>
            <w:left w:val="none" w:sz="0" w:space="0" w:color="auto"/>
            <w:bottom w:val="none" w:sz="0" w:space="0" w:color="auto"/>
            <w:right w:val="none" w:sz="0" w:space="0" w:color="auto"/>
          </w:divBdr>
          <w:divsChild>
            <w:div w:id="1789620642">
              <w:marLeft w:val="-165"/>
              <w:marRight w:val="-165"/>
              <w:marTop w:val="0"/>
              <w:marBottom w:val="0"/>
              <w:divBdr>
                <w:top w:val="none" w:sz="0" w:space="0" w:color="auto"/>
                <w:left w:val="none" w:sz="0" w:space="0" w:color="auto"/>
                <w:bottom w:val="none" w:sz="0" w:space="0" w:color="auto"/>
                <w:right w:val="none" w:sz="0" w:space="0" w:color="auto"/>
              </w:divBdr>
              <w:divsChild>
                <w:div w:id="91555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23990">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2170190">
      <w:bodyDiv w:val="1"/>
      <w:marLeft w:val="0"/>
      <w:marRight w:val="0"/>
      <w:marTop w:val="0"/>
      <w:marBottom w:val="0"/>
      <w:divBdr>
        <w:top w:val="none" w:sz="0" w:space="0" w:color="auto"/>
        <w:left w:val="none" w:sz="0" w:space="0" w:color="auto"/>
        <w:bottom w:val="none" w:sz="0" w:space="0" w:color="auto"/>
        <w:right w:val="none" w:sz="0" w:space="0" w:color="auto"/>
      </w:divBdr>
      <w:divsChild>
        <w:div w:id="1285388396">
          <w:marLeft w:val="0"/>
          <w:marRight w:val="0"/>
          <w:marTop w:val="0"/>
          <w:marBottom w:val="0"/>
          <w:divBdr>
            <w:top w:val="none" w:sz="0" w:space="0" w:color="auto"/>
            <w:left w:val="none" w:sz="0" w:space="0" w:color="auto"/>
            <w:bottom w:val="none" w:sz="0" w:space="0" w:color="auto"/>
            <w:right w:val="none" w:sz="0" w:space="0" w:color="auto"/>
          </w:divBdr>
          <w:divsChild>
            <w:div w:id="14589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306076">
      <w:bodyDiv w:val="1"/>
      <w:marLeft w:val="0"/>
      <w:marRight w:val="0"/>
      <w:marTop w:val="0"/>
      <w:marBottom w:val="0"/>
      <w:divBdr>
        <w:top w:val="none" w:sz="0" w:space="0" w:color="auto"/>
        <w:left w:val="none" w:sz="0" w:space="0" w:color="auto"/>
        <w:bottom w:val="none" w:sz="0" w:space="0" w:color="auto"/>
        <w:right w:val="none" w:sz="0" w:space="0" w:color="auto"/>
      </w:divBdr>
    </w:div>
    <w:div w:id="1748838433">
      <w:bodyDiv w:val="1"/>
      <w:marLeft w:val="0"/>
      <w:marRight w:val="0"/>
      <w:marTop w:val="0"/>
      <w:marBottom w:val="0"/>
      <w:divBdr>
        <w:top w:val="none" w:sz="0" w:space="0" w:color="auto"/>
        <w:left w:val="none" w:sz="0" w:space="0" w:color="auto"/>
        <w:bottom w:val="none" w:sz="0" w:space="0" w:color="auto"/>
        <w:right w:val="none" w:sz="0" w:space="0" w:color="auto"/>
      </w:divBdr>
    </w:div>
    <w:div w:id="1755735501">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76166244">
      <w:bodyDiv w:val="1"/>
      <w:marLeft w:val="0"/>
      <w:marRight w:val="0"/>
      <w:marTop w:val="0"/>
      <w:marBottom w:val="0"/>
      <w:divBdr>
        <w:top w:val="none" w:sz="0" w:space="0" w:color="auto"/>
        <w:left w:val="none" w:sz="0" w:space="0" w:color="auto"/>
        <w:bottom w:val="none" w:sz="0" w:space="0" w:color="auto"/>
        <w:right w:val="none" w:sz="0" w:space="0" w:color="auto"/>
      </w:divBdr>
    </w:div>
    <w:div w:id="1777556930">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12747492">
      <w:bodyDiv w:val="1"/>
      <w:marLeft w:val="0"/>
      <w:marRight w:val="0"/>
      <w:marTop w:val="0"/>
      <w:marBottom w:val="0"/>
      <w:divBdr>
        <w:top w:val="none" w:sz="0" w:space="0" w:color="auto"/>
        <w:left w:val="none" w:sz="0" w:space="0" w:color="auto"/>
        <w:bottom w:val="none" w:sz="0" w:space="0" w:color="auto"/>
        <w:right w:val="none" w:sz="0" w:space="0" w:color="auto"/>
      </w:divBdr>
    </w:div>
    <w:div w:id="1832060435">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51944675">
      <w:bodyDiv w:val="1"/>
      <w:marLeft w:val="0"/>
      <w:marRight w:val="0"/>
      <w:marTop w:val="0"/>
      <w:marBottom w:val="0"/>
      <w:divBdr>
        <w:top w:val="none" w:sz="0" w:space="0" w:color="auto"/>
        <w:left w:val="none" w:sz="0" w:space="0" w:color="auto"/>
        <w:bottom w:val="none" w:sz="0" w:space="0" w:color="auto"/>
        <w:right w:val="none" w:sz="0" w:space="0" w:color="auto"/>
      </w:divBdr>
    </w:div>
    <w:div w:id="1856921302">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2551661">
      <w:bodyDiv w:val="1"/>
      <w:marLeft w:val="0"/>
      <w:marRight w:val="0"/>
      <w:marTop w:val="0"/>
      <w:marBottom w:val="0"/>
      <w:divBdr>
        <w:top w:val="none" w:sz="0" w:space="0" w:color="auto"/>
        <w:left w:val="none" w:sz="0" w:space="0" w:color="auto"/>
        <w:bottom w:val="none" w:sz="0" w:space="0" w:color="auto"/>
        <w:right w:val="none" w:sz="0" w:space="0" w:color="auto"/>
      </w:divBdr>
    </w:div>
    <w:div w:id="1884632338">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9628460">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1714680">
      <w:bodyDiv w:val="1"/>
      <w:marLeft w:val="0"/>
      <w:marRight w:val="0"/>
      <w:marTop w:val="0"/>
      <w:marBottom w:val="0"/>
      <w:divBdr>
        <w:top w:val="none" w:sz="0" w:space="0" w:color="auto"/>
        <w:left w:val="none" w:sz="0" w:space="0" w:color="auto"/>
        <w:bottom w:val="none" w:sz="0" w:space="0" w:color="auto"/>
        <w:right w:val="none" w:sz="0" w:space="0" w:color="auto"/>
      </w:divBdr>
    </w:div>
    <w:div w:id="1922324491">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2128448">
      <w:bodyDiv w:val="1"/>
      <w:marLeft w:val="0"/>
      <w:marRight w:val="0"/>
      <w:marTop w:val="0"/>
      <w:marBottom w:val="0"/>
      <w:divBdr>
        <w:top w:val="none" w:sz="0" w:space="0" w:color="auto"/>
        <w:left w:val="none" w:sz="0" w:space="0" w:color="auto"/>
        <w:bottom w:val="none" w:sz="0" w:space="0" w:color="auto"/>
        <w:right w:val="none" w:sz="0" w:space="0" w:color="auto"/>
      </w:divBdr>
      <w:divsChild>
        <w:div w:id="393698362">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77374888">
      <w:bodyDiv w:val="1"/>
      <w:marLeft w:val="0"/>
      <w:marRight w:val="0"/>
      <w:marTop w:val="0"/>
      <w:marBottom w:val="0"/>
      <w:divBdr>
        <w:top w:val="none" w:sz="0" w:space="0" w:color="auto"/>
        <w:left w:val="none" w:sz="0" w:space="0" w:color="auto"/>
        <w:bottom w:val="none" w:sz="0" w:space="0" w:color="auto"/>
        <w:right w:val="none" w:sz="0" w:space="0" w:color="auto"/>
      </w:divBdr>
    </w:div>
    <w:div w:id="1978607533">
      <w:bodyDiv w:val="1"/>
      <w:marLeft w:val="0"/>
      <w:marRight w:val="0"/>
      <w:marTop w:val="0"/>
      <w:marBottom w:val="0"/>
      <w:divBdr>
        <w:top w:val="none" w:sz="0" w:space="0" w:color="auto"/>
        <w:left w:val="none" w:sz="0" w:space="0" w:color="auto"/>
        <w:bottom w:val="none" w:sz="0" w:space="0" w:color="auto"/>
        <w:right w:val="none" w:sz="0" w:space="0" w:color="auto"/>
      </w:divBdr>
    </w:div>
    <w:div w:id="1982228823">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01232217">
      <w:bodyDiv w:val="1"/>
      <w:marLeft w:val="0"/>
      <w:marRight w:val="0"/>
      <w:marTop w:val="0"/>
      <w:marBottom w:val="0"/>
      <w:divBdr>
        <w:top w:val="none" w:sz="0" w:space="0" w:color="auto"/>
        <w:left w:val="none" w:sz="0" w:space="0" w:color="auto"/>
        <w:bottom w:val="none" w:sz="0" w:space="0" w:color="auto"/>
        <w:right w:val="none" w:sz="0" w:space="0" w:color="auto"/>
      </w:divBdr>
    </w:div>
    <w:div w:id="2008285355">
      <w:bodyDiv w:val="1"/>
      <w:marLeft w:val="0"/>
      <w:marRight w:val="0"/>
      <w:marTop w:val="0"/>
      <w:marBottom w:val="0"/>
      <w:divBdr>
        <w:top w:val="none" w:sz="0" w:space="0" w:color="auto"/>
        <w:left w:val="none" w:sz="0" w:space="0" w:color="auto"/>
        <w:bottom w:val="none" w:sz="0" w:space="0" w:color="auto"/>
        <w:right w:val="none" w:sz="0" w:space="0" w:color="auto"/>
      </w:divBdr>
    </w:div>
    <w:div w:id="2010667414">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63283976">
      <w:bodyDiv w:val="1"/>
      <w:marLeft w:val="0"/>
      <w:marRight w:val="0"/>
      <w:marTop w:val="0"/>
      <w:marBottom w:val="0"/>
      <w:divBdr>
        <w:top w:val="none" w:sz="0" w:space="0" w:color="auto"/>
        <w:left w:val="none" w:sz="0" w:space="0" w:color="auto"/>
        <w:bottom w:val="none" w:sz="0" w:space="0" w:color="auto"/>
        <w:right w:val="none" w:sz="0" w:space="0" w:color="auto"/>
      </w:divBdr>
    </w:div>
    <w:div w:id="2086295130">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1628266">
      <w:bodyDiv w:val="1"/>
      <w:marLeft w:val="0"/>
      <w:marRight w:val="0"/>
      <w:marTop w:val="0"/>
      <w:marBottom w:val="0"/>
      <w:divBdr>
        <w:top w:val="none" w:sz="0" w:space="0" w:color="auto"/>
        <w:left w:val="none" w:sz="0" w:space="0" w:color="auto"/>
        <w:bottom w:val="none" w:sz="0" w:space="0" w:color="auto"/>
        <w:right w:val="none" w:sz="0" w:space="0" w:color="auto"/>
      </w:divBdr>
    </w:div>
    <w:div w:id="2142185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cfr.org/blog/new-dawn-wind-energy-infrastructure-after-production-tax-credit-sunset" TargetMode="External"/><Relationship Id="rId13" Type="http://schemas.openxmlformats.org/officeDocument/2006/relationships/hyperlink" Target="https://leveltenenergy.com/blog/energy-procurement/renewable-energy-tax-credits/" TargetMode="External"/><Relationship Id="rId18" Type="http://schemas.openxmlformats.org/officeDocument/2006/relationships/hyperlink" Target="http://www.conservativestewards.org/fales-depletion-allowance-implicit-ptc-conversion-methodology/" TargetMode="External"/><Relationship Id="rId26" Type="http://schemas.openxmlformats.org/officeDocument/2006/relationships/hyperlink" Target="https://www.ucsusa.org/resources/production-tax-credit-renewable-energy" TargetMode="External"/><Relationship Id="rId39" Type="http://schemas.openxmlformats.org/officeDocument/2006/relationships/hyperlink" Target="http://apps2.eere.energy.gov/wind/windexchange/pdfs/workshops/2015/lantz_wind_vision_report_key_results_highlights.pdf" TargetMode="External"/><Relationship Id="rId3" Type="http://schemas.openxmlformats.org/officeDocument/2006/relationships/settings" Target="settings.xml"/><Relationship Id="rId21" Type="http://schemas.openxmlformats.org/officeDocument/2006/relationships/hyperlink" Target="http://cagw.org/sites/default/files/users/user98/The%20Sun%20Should%20Set%20on%20Solar%20Socialism%20web%20version.pdf" TargetMode="External"/><Relationship Id="rId34" Type="http://schemas.openxmlformats.org/officeDocument/2006/relationships/hyperlink" Target="https://ehs.duke.edu/2018/wp-content/uploads/sites/4/2018/09/Kravchenko_Coal-Ash.pdf" TargetMode="External"/><Relationship Id="rId42" Type="http://schemas.openxmlformats.org/officeDocument/2006/relationships/fontTable" Target="fontTable.xml"/><Relationship Id="rId7" Type="http://schemas.openxmlformats.org/officeDocument/2006/relationships/hyperlink" Target="https://www.haynesboone.com/-/media/files/attorney-publications/2019/renewables-article-for-hb-energy-roundup.ashx?la=en&amp;hash=B10184E2FE1DA29370ECE369666C2138A16E4992" TargetMode="External"/><Relationship Id="rId12" Type="http://schemas.openxmlformats.org/officeDocument/2006/relationships/hyperlink" Target="https://www.eia.gov/todayinenergy/detail.php?id=8870" TargetMode="External"/><Relationship Id="rId17" Type="http://schemas.openxmlformats.org/officeDocument/2006/relationships/hyperlink" Target="https://cleanenergy.org/blog/windptcbenefits/" TargetMode="External"/><Relationship Id="rId25" Type="http://schemas.openxmlformats.org/officeDocument/2006/relationships/hyperlink" Target="https://www.thebalance.com/what-is-the-federal-budget-3306305" TargetMode="External"/><Relationship Id="rId33" Type="http://schemas.openxmlformats.org/officeDocument/2006/relationships/hyperlink" Target="https://www.tva.gov/Energy/Our-Power-System/Coal/Kingston-Fossil-Plant" TargetMode="External"/><Relationship Id="rId38" Type="http://schemas.openxmlformats.org/officeDocument/2006/relationships/hyperlink" Target="https://cleanenergy.org/blog/windptcbenefits/" TargetMode="External"/><Relationship Id="rId2" Type="http://schemas.openxmlformats.org/officeDocument/2006/relationships/styles" Target="styles.xml"/><Relationship Id="rId16" Type="http://schemas.openxmlformats.org/officeDocument/2006/relationships/hyperlink" Target="https://news.utexas.edu/2019/04/12/tax-credits-for-wind-and-solar-work-why-are-texas-lawmakers-going-after-them/" TargetMode="External"/><Relationship Id="rId20" Type="http://schemas.openxmlformats.org/officeDocument/2006/relationships/hyperlink" Target="https://www.atr.org/atr-urges-lawmakers-oppose-solar-itc-and-wind-ptc" TargetMode="External"/><Relationship Id="rId29" Type="http://schemas.openxmlformats.org/officeDocument/2006/relationships/hyperlink" Target="https://rhg.com/research/can-tax-credits-tackle-climate/"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ia.gov/todayinenergy/detail.php?id=39472" TargetMode="External"/><Relationship Id="rId24" Type="http://schemas.openxmlformats.org/officeDocument/2006/relationships/hyperlink" Target="https://www.thebalance.com/fiscal-year-definition-federal-budget-examples-3305794" TargetMode="External"/><Relationship Id="rId32" Type="http://schemas.openxmlformats.org/officeDocument/2006/relationships/hyperlink" Target="https://www.taxpolicycenter.org/briefing-book/what-carbon-tax" TargetMode="External"/><Relationship Id="rId37" Type="http://schemas.openxmlformats.org/officeDocument/2006/relationships/hyperlink" Target="https://www.ncbi.nlm.nih.gov/pubmed/28696208" TargetMode="External"/><Relationship Id="rId40"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nexteraenergyresources.com/pdf_redesign/wind_ptc.pdf" TargetMode="External"/><Relationship Id="rId23" Type="http://schemas.openxmlformats.org/officeDocument/2006/relationships/hyperlink" Target="https://www.thebalance.com/donald-trump-economic-plan-3994106" TargetMode="External"/><Relationship Id="rId28" Type="http://schemas.openxmlformats.org/officeDocument/2006/relationships/hyperlink" Target="https://www.pjm.com/-/media/about-pjm/newsroom/fact-sheets/reliability-pricing-model-fact-sheet.ashx?la=en" TargetMode="External"/><Relationship Id="rId36" Type="http://schemas.openxmlformats.org/officeDocument/2006/relationships/hyperlink" Target="https://ehs.duke.edu/2018/wp-content/uploads/sites/4/2018/09/Kravchenko_Coal-Ash.pdf" TargetMode="External"/><Relationship Id="rId10" Type="http://schemas.openxmlformats.org/officeDocument/2006/relationships/hyperlink" Target="https://www.eia.gov/todayinenergy/detail.php?id=39472" TargetMode="External"/><Relationship Id="rId19" Type="http://schemas.openxmlformats.org/officeDocument/2006/relationships/hyperlink" Target="https://www.greentechmedia.com/articles/read/another-wind-ptc-extension-no-thanks-say-many-in-industry" TargetMode="External"/><Relationship Id="rId31" Type="http://schemas.openxmlformats.org/officeDocument/2006/relationships/hyperlink" Target="https://www.eia.gov/energyexplained/wind/wind-energy-and-the-environment.php" TargetMode="External"/><Relationship Id="rId4" Type="http://schemas.openxmlformats.org/officeDocument/2006/relationships/webSettings" Target="webSettings.xml"/><Relationship Id="rId9" Type="http://schemas.openxmlformats.org/officeDocument/2006/relationships/hyperlink" Target="https://www.energy.gov/savings/renewable-electricity-production-tax-credit-ptc" TargetMode="External"/><Relationship Id="rId14" Type="http://schemas.openxmlformats.org/officeDocument/2006/relationships/hyperlink" Target="https://cleanenergy.org/blog/windptcbenefits/" TargetMode="External"/><Relationship Id="rId22" Type="http://schemas.openxmlformats.org/officeDocument/2006/relationships/hyperlink" Target="https://www.thebalance.com/u-s-federal-budget-breakdown-3305789" TargetMode="External"/><Relationship Id="rId27" Type="http://schemas.openxmlformats.org/officeDocument/2006/relationships/hyperlink" Target="https://www.cfr.org/blog/new-dawn-wind-energy-infrastructure-after-production-tax-credit-sunset" TargetMode="External"/><Relationship Id="rId30" Type="http://schemas.openxmlformats.org/officeDocument/2006/relationships/hyperlink" Target="https://www.energy.gov/articles/production-tax-credit-key-strong-us-wind-industry" TargetMode="External"/><Relationship Id="rId35" Type="http://schemas.openxmlformats.org/officeDocument/2006/relationships/hyperlink" Target="https://www.epa.gov/pm-pollution/particulate-matter-pm-basics"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2296</TotalTime>
  <Pages>10</Pages>
  <Words>5013</Words>
  <Characters>28575</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33521</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TREFETHEN Vance</cp:lastModifiedBy>
  <cp:revision>39</cp:revision>
  <cp:lastPrinted>2014-07-05T10:25:00Z</cp:lastPrinted>
  <dcterms:created xsi:type="dcterms:W3CDTF">2018-06-04T23:49:00Z</dcterms:created>
  <dcterms:modified xsi:type="dcterms:W3CDTF">2019-12-07T21:58:00Z</dcterms:modified>
</cp:coreProperties>
</file>